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948" w:rsidRPr="00C51255" w:rsidRDefault="00BB4E48" w:rsidP="00C51255">
      <w:pPr>
        <w:pStyle w:val="Heading1"/>
        <w:spacing w:line="360" w:lineRule="auto"/>
        <w:jc w:val="center"/>
        <w:rPr>
          <w:sz w:val="24"/>
          <w:szCs w:val="24"/>
        </w:rPr>
      </w:pPr>
      <w:r w:rsidRPr="00C51255">
        <w:rPr>
          <w:sz w:val="24"/>
          <w:szCs w:val="24"/>
        </w:rPr>
        <w:t>CHAPTER FIVE</w:t>
      </w:r>
    </w:p>
    <w:p w:rsidR="00011948" w:rsidRPr="00C51255" w:rsidRDefault="00BB4E48" w:rsidP="00C51255">
      <w:pPr>
        <w:pStyle w:val="Heading1"/>
        <w:spacing w:line="360" w:lineRule="auto"/>
        <w:jc w:val="center"/>
        <w:rPr>
          <w:sz w:val="24"/>
          <w:szCs w:val="24"/>
        </w:rPr>
      </w:pPr>
      <w:r w:rsidRPr="00C51255">
        <w:rPr>
          <w:sz w:val="24"/>
          <w:szCs w:val="24"/>
        </w:rPr>
        <w:t>SUMMARY, CONCLUSIONS AND RECOMMENDATIONS</w:t>
      </w:r>
    </w:p>
    <w:p w:rsidR="00011948" w:rsidRPr="00C51255" w:rsidRDefault="00BB4E48" w:rsidP="00C51255">
      <w:pPr>
        <w:pStyle w:val="Heading2"/>
        <w:spacing w:line="360" w:lineRule="auto"/>
      </w:pPr>
      <w:r w:rsidRPr="00C51255">
        <w:t>5.1 Introduction</w:t>
      </w:r>
    </w:p>
    <w:p w:rsidR="00011948" w:rsidRPr="00C51255" w:rsidRDefault="00BB4E48" w:rsidP="00C51255">
      <w:pPr>
        <w:ind w:firstLine="720"/>
      </w:pPr>
      <w:r w:rsidRPr="00C51255">
        <w:t xml:space="preserve">This chapter presents the summary of findings, conclusions, and recommendations arising from the study on the influence of risk management practices on the sustainability of Non-Governmental Organizations in Kenya. The chapter </w:t>
      </w:r>
      <w:proofErr w:type="spellStart"/>
      <w:r w:rsidRPr="00C51255">
        <w:t>synthesises</w:t>
      </w:r>
      <w:proofErr w:type="spellEnd"/>
      <w:r w:rsidRPr="00C51255">
        <w:t xml:space="preserve"> evidence drawn from the analysis of four independent variables, namely risk identification practices, risk assessment practices, risk control practices, and risk monitoring practices, and their respective relationships with NGO sustainability as the dependent variable. The chapter proceeds from a summary of the key findings organized by research objective, draws reasoned conclusions from those findings, and culminates in targeted recommendations directed at policy, practice, and theory. The chapter also identifies the limitations encountered during the study and proposes directions for future research.</w:t>
      </w:r>
    </w:p>
    <w:p w:rsidR="00011948" w:rsidRPr="00C51255" w:rsidRDefault="00BB4E48" w:rsidP="00C51255">
      <w:pPr>
        <w:pStyle w:val="Heading2"/>
        <w:spacing w:line="360" w:lineRule="auto"/>
      </w:pPr>
      <w:r w:rsidRPr="00C51255">
        <w:t>5.2 Summary of Findings</w:t>
      </w:r>
    </w:p>
    <w:p w:rsidR="00011948" w:rsidRPr="00C51255" w:rsidRDefault="00BB4E48" w:rsidP="00C51255">
      <w:pPr>
        <w:pStyle w:val="Heading3"/>
        <w:spacing w:line="360" w:lineRule="auto"/>
        <w:rPr>
          <w:i w:val="0"/>
        </w:rPr>
      </w:pPr>
      <w:r w:rsidRPr="00C51255">
        <w:rPr>
          <w:i w:val="0"/>
        </w:rPr>
        <w:t>5.2.1 Risk Identification Practices and NGO Sustainability</w:t>
      </w:r>
    </w:p>
    <w:p w:rsidR="00011948" w:rsidRPr="00C51255" w:rsidRDefault="00BB4E48" w:rsidP="00C51255">
      <w:pPr>
        <w:ind w:firstLine="720"/>
      </w:pPr>
      <w:r w:rsidRPr="00C51255">
        <w:t xml:space="preserve">The first objective sought to determine the influence of risk identification practices on the sustainability of NGOs in Kenya. The findings revealed that risk identification practices had a statistically significant and positive influence on NGO sustainability, with respondents confirming that organizations maintaining comprehensive and regularly updated risk registers, conducting structured stakeholder consultations during project inception, and performing systematic environmental scanning demonstrated measurably stronger financial sustainability, </w:t>
      </w:r>
      <w:proofErr w:type="spellStart"/>
      <w:r w:rsidRPr="00C51255">
        <w:t>programme</w:t>
      </w:r>
      <w:proofErr w:type="spellEnd"/>
      <w:r w:rsidRPr="00C51255">
        <w:t xml:space="preserve"> continuity, and institutional legitimacy compared to those without formalized identification mechanisms. The regression analysis indicated that risk identification was the strongest individual predictor of NGO sustainability among the four variables examined, consistent with the theoretical proposition that the capacity to anticipate threats before they materialize constitutes the foundational layer of organizational resilience. The null hypothesis H01, which stated that risk identification practices have no significant influence on sustainability of NGOs in Kenya, was therefore rejected.</w:t>
      </w:r>
    </w:p>
    <w:p w:rsidR="00011948" w:rsidRPr="00C51255" w:rsidRDefault="00BB4E48" w:rsidP="00C51255">
      <w:pPr>
        <w:pStyle w:val="Heading3"/>
        <w:spacing w:line="360" w:lineRule="auto"/>
        <w:rPr>
          <w:i w:val="0"/>
        </w:rPr>
      </w:pPr>
      <w:r w:rsidRPr="00C51255">
        <w:rPr>
          <w:i w:val="0"/>
        </w:rPr>
        <w:t>5.2.2 Risk Assessment Practices and NGO Sustainability</w:t>
      </w:r>
    </w:p>
    <w:p w:rsidR="00011948" w:rsidRPr="00C51255" w:rsidRDefault="00BB4E48" w:rsidP="00C51255">
      <w:pPr>
        <w:ind w:firstLine="720"/>
      </w:pPr>
      <w:r w:rsidRPr="00C51255">
        <w:lastRenderedPageBreak/>
        <w:t xml:space="preserve">The second objective sought to establish the influence of risk assessment practices on the sustainability of NGOs in Kenya. The findings demonstrated that organizations employing structured risk assessment approaches, including likelihood and impact matrices, financial impact modelling, and regular reassessment as project conditions evolved, reported significantly higher sustainability outcomes across all three dimensions measured. Respondents indicated that the frequency and thoroughness of risk assessments directly influenced the quality of resource allocation decisions, with organizations conducting periodic reassessments being better positioned to prevent cost overruns and sustain </w:t>
      </w:r>
      <w:proofErr w:type="spellStart"/>
      <w:r w:rsidRPr="00C51255">
        <w:t>programme</w:t>
      </w:r>
      <w:proofErr w:type="spellEnd"/>
      <w:r w:rsidRPr="00C51255">
        <w:t xml:space="preserve"> delivery in the face of emerging threats. The findings further revealed that a significant proportion of surveyed NGOs relied on informal or ad hoc assessment methods, which correlated with weaker sustainability performance and higher incidence of donor-reported concerns. The null hypothesis H02, which stated that risk assessment practices have no significant influence on sustainability of NGOs in Kenya, was accordingly rejected.</w:t>
      </w:r>
    </w:p>
    <w:p w:rsidR="00011948" w:rsidRPr="00C51255" w:rsidRDefault="00BB4E48" w:rsidP="00C51255">
      <w:pPr>
        <w:pStyle w:val="Heading3"/>
        <w:spacing w:line="360" w:lineRule="auto"/>
        <w:rPr>
          <w:i w:val="0"/>
        </w:rPr>
      </w:pPr>
      <w:r w:rsidRPr="00C51255">
        <w:rPr>
          <w:i w:val="0"/>
        </w:rPr>
        <w:t>5.2.3 Risk Control Practices and NGO Sustainability</w:t>
      </w:r>
    </w:p>
    <w:p w:rsidR="00011948" w:rsidRPr="00C51255" w:rsidRDefault="00BB4E48" w:rsidP="00C51255">
      <w:pPr>
        <w:ind w:firstLine="720"/>
      </w:pPr>
      <w:r w:rsidRPr="00C51255">
        <w:t xml:space="preserve">The third objective sought to examine the influence of risk control practices on the sustainability of NGOs in Kenya. The findings established that risk control practices, operationalized through the comprehensiveness of risk response plans, effectiveness of internal financial controls, adequacy of contingency reserves, and speed of control activation in response to emerging risks, exerted a significant positive influence on NGO sustainability. Organizations with formally documented risk response plans and adequately funded contingency provisions demonstrated greater capacity to absorb operational shocks without interrupting </w:t>
      </w:r>
      <w:proofErr w:type="spellStart"/>
      <w:r w:rsidRPr="00C51255">
        <w:t>programme</w:t>
      </w:r>
      <w:proofErr w:type="spellEnd"/>
      <w:r w:rsidRPr="00C51255">
        <w:t xml:space="preserve"> delivery or triggering donor withdrawal. The analysis further revealed that internal control effectiveness was the most consistently cited control-related factor associated with improved financial sustainability, with weaknesses in financial oversight identified as the primary driver of audit queries and project failures among sampled organizations. The null hypothesis H03, which stated that risk control practices have no significant influence on sustainability of NGOs in Kenya, was therefore rejected.</w:t>
      </w:r>
    </w:p>
    <w:p w:rsidR="00011948" w:rsidRPr="00C51255" w:rsidRDefault="00BB4E48" w:rsidP="00C51255">
      <w:pPr>
        <w:pStyle w:val="Heading3"/>
        <w:spacing w:line="360" w:lineRule="auto"/>
        <w:rPr>
          <w:i w:val="0"/>
        </w:rPr>
      </w:pPr>
      <w:r w:rsidRPr="00C51255">
        <w:rPr>
          <w:i w:val="0"/>
        </w:rPr>
        <w:t>5.2.4 Risk Monitoring Practices and NGO Sustainability</w:t>
      </w:r>
    </w:p>
    <w:p w:rsidR="00011948" w:rsidRPr="00C51255" w:rsidRDefault="00BB4E48" w:rsidP="00C51255">
      <w:pPr>
        <w:ind w:firstLine="720"/>
      </w:pPr>
      <w:r w:rsidRPr="00C51255">
        <w:t xml:space="preserve">The fourth objective sought to assess the influence of risk monitoring practices on the sustainability of NGOs in Kenya. The findings indicated that risk monitoring practices, measured </w:t>
      </w:r>
      <w:r w:rsidRPr="00C51255">
        <w:lastRenderedPageBreak/>
        <w:t xml:space="preserve">through the frequency of risk review meetings, comprehensiveness of risk indicators tracked, extent to which audit findings were acted upon, and the quality of risk reporting to boards and governance structures, had a significant positive influence on NGO sustainability. Organizations maintaining active risk monitoring systems were found to detect early warning signals at a significantly earlier stage, preventing the escalation of manageable risks into organizational crises that threatened </w:t>
      </w:r>
      <w:proofErr w:type="spellStart"/>
      <w:r w:rsidRPr="00C51255">
        <w:t>programme</w:t>
      </w:r>
      <w:proofErr w:type="spellEnd"/>
      <w:r w:rsidRPr="00C51255">
        <w:t xml:space="preserve"> continuity and institutional credibility. The findings further revealed that risk reporting quality was particularly associated with institutional sustainability, as boards and governance structures that received structured and timely risk intelligence demonstrated stronger oversight capacity and more responsive decision making. The null hypothesis H04, which stated that risk monitoring practices have no significant influence on sustainability of NGOs in Kenya, was consequently rejected.</w:t>
      </w:r>
    </w:p>
    <w:p w:rsidR="00011948" w:rsidRPr="00C51255" w:rsidRDefault="00BB4E48" w:rsidP="00C51255">
      <w:pPr>
        <w:pStyle w:val="Heading2"/>
        <w:spacing w:line="360" w:lineRule="auto"/>
      </w:pPr>
      <w:r w:rsidRPr="00C51255">
        <w:t>5.3 Conclusions</w:t>
      </w:r>
    </w:p>
    <w:p w:rsidR="00011948" w:rsidRPr="00C51255" w:rsidRDefault="00BB4E48" w:rsidP="00C51255">
      <w:pPr>
        <w:pStyle w:val="Heading3"/>
        <w:spacing w:line="360" w:lineRule="auto"/>
        <w:rPr>
          <w:i w:val="0"/>
        </w:rPr>
      </w:pPr>
      <w:r w:rsidRPr="00C51255">
        <w:rPr>
          <w:i w:val="0"/>
        </w:rPr>
        <w:t>5.3.1 Risk Identification Practices and NGO Sustainability</w:t>
      </w:r>
    </w:p>
    <w:p w:rsidR="00011948" w:rsidRPr="00C51255" w:rsidRDefault="00BB4E48" w:rsidP="00C51255">
      <w:pPr>
        <w:ind w:firstLine="720"/>
      </w:pPr>
      <w:r w:rsidRPr="00C51255">
        <w:t xml:space="preserve">The study concludes that risk identification practices have a significant positive influence on the sustainability of Non-Governmental Organizations in Kenya. Organizations that systematically document potential threats and opportunities through maintained risk registers, structured stakeholder engagement, and regular environmental scanning are demonstrably better positioned to protect their operational continuity, retain donor confidence, and deliver sustained programmatic impact. The study further concludes that risk identification is not merely a procedural formality but a strategic governance function whose quality determines the effectiveness of all subsequent risk management activity. </w:t>
      </w:r>
    </w:p>
    <w:p w:rsidR="00011948" w:rsidRPr="00C51255" w:rsidRDefault="00BB4E48" w:rsidP="00C51255">
      <w:pPr>
        <w:pStyle w:val="Heading3"/>
        <w:spacing w:line="360" w:lineRule="auto"/>
        <w:rPr>
          <w:i w:val="0"/>
        </w:rPr>
      </w:pPr>
      <w:r w:rsidRPr="00C51255">
        <w:rPr>
          <w:i w:val="0"/>
        </w:rPr>
        <w:t>5.3.2 Risk Assessment Practices and NGO Sustainability</w:t>
      </w:r>
    </w:p>
    <w:p w:rsidR="00011948" w:rsidRPr="00C51255" w:rsidRDefault="00BB4E48" w:rsidP="00C51255">
      <w:pPr>
        <w:ind w:firstLine="720"/>
      </w:pPr>
      <w:r w:rsidRPr="00C51255">
        <w:t xml:space="preserve">The study concludes that risk assessment practices have a significant positive influence on the sustainability of Non-Governmental Organizations in Kenya. Organizations that evaluate identified risks through systematic likelihood and impact analysis, employ both qualitative and quantitative assessment tools, and reassess risks periodically as operational conditions change are significantly more capable of making informed resource allocation decisions that protect </w:t>
      </w:r>
      <w:proofErr w:type="spellStart"/>
      <w:r w:rsidRPr="00C51255">
        <w:t>programme</w:t>
      </w:r>
      <w:proofErr w:type="spellEnd"/>
      <w:r w:rsidRPr="00C51255">
        <w:t xml:space="preserve"> continuity and financial viability. The study concludes further that the widespread reliance on informal and undocumented assessment approaches among Kenyan NGOs constitutes </w:t>
      </w:r>
      <w:r w:rsidRPr="00C51255">
        <w:lastRenderedPageBreak/>
        <w:t xml:space="preserve">a structural vulnerability that directly contributes to the persistent sustainability gaps observed in the sector. </w:t>
      </w:r>
    </w:p>
    <w:p w:rsidR="00011948" w:rsidRPr="00C51255" w:rsidRDefault="00BB4E48" w:rsidP="00C51255">
      <w:pPr>
        <w:pStyle w:val="Heading3"/>
        <w:spacing w:line="360" w:lineRule="auto"/>
        <w:rPr>
          <w:i w:val="0"/>
        </w:rPr>
      </w:pPr>
      <w:r w:rsidRPr="00C51255">
        <w:rPr>
          <w:i w:val="0"/>
        </w:rPr>
        <w:t>5.3.3 Risk Control Practices and NGO Sustainability</w:t>
      </w:r>
    </w:p>
    <w:p w:rsidR="00011948" w:rsidRPr="00C51255" w:rsidRDefault="00BB4E48" w:rsidP="00C51255">
      <w:pPr>
        <w:ind w:firstLine="720"/>
      </w:pPr>
      <w:r w:rsidRPr="00C51255">
        <w:t xml:space="preserve">The study concludes that risk control practices have a significant positive influence on the sustainability of Non-Governmental Organizations in Kenya. Organizations that maintain comprehensive risk response plans, enforce effective internal financial controls, hold adequate contingency reserves, and activate control mechanisms swiftly in response to emerging threats demonstrate markedly greater organizational resilience and </w:t>
      </w:r>
      <w:proofErr w:type="spellStart"/>
      <w:r w:rsidRPr="00C51255">
        <w:t>programme</w:t>
      </w:r>
      <w:proofErr w:type="spellEnd"/>
      <w:r w:rsidRPr="00C51255">
        <w:t xml:space="preserve"> continuity. The study further concludes that weaknesses in internal financial control represent the most consequential risk control failure in the Kenyan NGO sector, accounting for the majority of audit exceptions and a disproportionate share of donor confidence erosion. Strengthening risk control frameworks, particularly in the areas of financial oversight and response plan documentation, is therefore essential for reversing the pattern of premature project failure and institutional fragility that characterizes a significant portion of the sector.</w:t>
      </w:r>
    </w:p>
    <w:p w:rsidR="00011948" w:rsidRPr="00C51255" w:rsidRDefault="00BB4E48" w:rsidP="00C51255">
      <w:pPr>
        <w:pStyle w:val="Heading3"/>
        <w:spacing w:line="360" w:lineRule="auto"/>
        <w:rPr>
          <w:i w:val="0"/>
        </w:rPr>
      </w:pPr>
      <w:r w:rsidRPr="00C51255">
        <w:rPr>
          <w:i w:val="0"/>
        </w:rPr>
        <w:t>5.3.4 Risk Monitoring Practices and NGO Sustainability</w:t>
      </w:r>
    </w:p>
    <w:p w:rsidR="00011948" w:rsidRPr="00C51255" w:rsidRDefault="00BB4E48" w:rsidP="00C51255">
      <w:pPr>
        <w:ind w:firstLine="720"/>
      </w:pPr>
      <w:r w:rsidRPr="00C51255">
        <w:t xml:space="preserve">The study concludes that risk monitoring practices have a significant positive influence on the sustainability of Non-Governmental Organizations in Kenya. Organizations that conduct regular risk review meetings, track risk indicators systematically, act on audit findings, and deliver structured risk reports to governance structures are better equipped to detect organizational risks at an early stage and prevent their escalation into crises that threaten </w:t>
      </w:r>
      <w:proofErr w:type="spellStart"/>
      <w:r w:rsidRPr="00C51255">
        <w:t>programme</w:t>
      </w:r>
      <w:proofErr w:type="spellEnd"/>
      <w:r w:rsidRPr="00C51255">
        <w:t xml:space="preserve"> continuity and institutional credibility. The study further concludes that the quality of risk reporting to boards is particularly consequential for institutional sustainability, as governance structures that receive timely, accurate, and actionable risk intelligence are more capable of exercising effective oversight and making decisions that protect long-term organizational viability. </w:t>
      </w:r>
    </w:p>
    <w:p w:rsidR="00011948" w:rsidRPr="00C51255" w:rsidRDefault="00BB4E48" w:rsidP="00C51255">
      <w:pPr>
        <w:pStyle w:val="Heading2"/>
        <w:spacing w:line="360" w:lineRule="auto"/>
      </w:pPr>
      <w:r w:rsidRPr="00C51255">
        <w:t>5.4 Recommendations</w:t>
      </w:r>
    </w:p>
    <w:p w:rsidR="00011948" w:rsidRPr="00C51255" w:rsidRDefault="00BB4E48" w:rsidP="00C51255">
      <w:pPr>
        <w:pStyle w:val="Heading3"/>
        <w:spacing w:line="360" w:lineRule="auto"/>
        <w:rPr>
          <w:i w:val="0"/>
        </w:rPr>
      </w:pPr>
      <w:r w:rsidRPr="00C51255">
        <w:rPr>
          <w:i w:val="0"/>
        </w:rPr>
        <w:t>5.4.1 Recommendations for Policy</w:t>
      </w:r>
    </w:p>
    <w:p w:rsidR="00C51255" w:rsidRDefault="00C51255" w:rsidP="00C51255">
      <w:r w:rsidRPr="00C51255">
        <w:t xml:space="preserve">The study recommends that the NGO Coordination Board and the Public Benefits Organizations Authority integrate minimum risk management standards into the NGO registration and annual compliance renewal framework. Specifically, organizations seeking registration or renewal should </w:t>
      </w:r>
      <w:r w:rsidRPr="00C51255">
        <w:lastRenderedPageBreak/>
        <w:t xml:space="preserve">be required to demonstrate the existence of a functional risk register, a documented risk response plan, and evidence of periodic risk review cycles as part of their governance compliance returns. This would create a regulatory baseline that incentivizes risk governance investment across the sector rather than leaving it to organizational discretion. </w:t>
      </w:r>
    </w:p>
    <w:p w:rsidR="00011948" w:rsidRPr="00C51255" w:rsidRDefault="00C51255" w:rsidP="00C51255">
      <w:r w:rsidRPr="00C51255">
        <w:t xml:space="preserve">Furthermore, bilateral donors, multilateral organizations, and private foundations operating in Kenya should incorporate risk management maturity benchmarks into their due diligence and grant assessment criteria, moving beyond financial audits to evaluate the quality of risk identification, assessment, control, and monitoring systems before committing </w:t>
      </w:r>
      <w:proofErr w:type="spellStart"/>
      <w:r w:rsidRPr="00C51255">
        <w:t>programme</w:t>
      </w:r>
      <w:proofErr w:type="spellEnd"/>
      <w:r w:rsidRPr="00C51255">
        <w:t xml:space="preserve"> funding. The study also recommends that the Ministry of Public Service and Gender, in implementing the Public Benefits Organizations Act, develop sector-specific risk governance guidelines tailored to the operational realities of Kenyan NGOs, drawing on the ISO 31000:2018 framework while adapting its requirements to the resource constraints and accountability structures characteristic of the local development sector</w:t>
      </w:r>
      <w:r>
        <w:t>.</w:t>
      </w:r>
    </w:p>
    <w:p w:rsidR="00011948" w:rsidRPr="00C51255" w:rsidRDefault="00BB4E48" w:rsidP="00C51255">
      <w:pPr>
        <w:pStyle w:val="Heading3"/>
        <w:spacing w:line="360" w:lineRule="auto"/>
        <w:rPr>
          <w:i w:val="0"/>
        </w:rPr>
      </w:pPr>
      <w:r w:rsidRPr="00C51255">
        <w:rPr>
          <w:i w:val="0"/>
        </w:rPr>
        <w:t>5.4.2 Recommendations for Practice</w:t>
      </w:r>
    </w:p>
    <w:p w:rsidR="00C51255" w:rsidRDefault="00C51255" w:rsidP="00C51255">
      <w:r w:rsidRPr="00C51255">
        <w:t xml:space="preserve">The study recommends that NGO managers and boards prioritize the institutionalization of risk identification as a core organizational practice by establishing and maintaining a live risk register that is reviewed and updated at least quarterly and at every major project milestone. Risk registers should be developed through structured stakeholder consultations that include </w:t>
      </w:r>
      <w:proofErr w:type="spellStart"/>
      <w:r w:rsidRPr="00C51255">
        <w:t>programme</w:t>
      </w:r>
      <w:proofErr w:type="spellEnd"/>
      <w:r w:rsidRPr="00C51255">
        <w:t xml:space="preserve"> staff, community representatives, and donor focal persons, ensuring that both internal and external risk perspectives are captured comprehensively. Boards of directors should formally include risk reporting as a standing agenda item at all governance meetings, with management required to present structured risk updates that include the status of previously identified risks, newly emerging threats, and the effectiveness of controls in place. </w:t>
      </w:r>
    </w:p>
    <w:p w:rsidR="00011948" w:rsidRPr="00C51255" w:rsidRDefault="00C51255" w:rsidP="00C51255">
      <w:r w:rsidRPr="00C51255">
        <w:t xml:space="preserve">In terms of risk control, NGO financial officers and </w:t>
      </w:r>
      <w:proofErr w:type="spellStart"/>
      <w:r w:rsidRPr="00C51255">
        <w:t>programme</w:t>
      </w:r>
      <w:proofErr w:type="spellEnd"/>
      <w:r w:rsidRPr="00C51255">
        <w:t xml:space="preserve"> managers should ensure that project budgets routinely include explicitly ring-fenced contingency reserves, recommended at a minimum of ten percent of total project value, to absorb operational shocks without triggering </w:t>
      </w:r>
      <w:proofErr w:type="spellStart"/>
      <w:r w:rsidRPr="00C51255">
        <w:t>programme</w:t>
      </w:r>
      <w:proofErr w:type="spellEnd"/>
      <w:r w:rsidRPr="00C51255">
        <w:t xml:space="preserve"> suspension or emergency donor negotiations. Internal audit functions, whether in-house or outsourced, should be empowered to conduct risk-focused reviews rather than purely financial compliance audits, with findings tracked to resolution through a formal management response register. </w:t>
      </w:r>
      <w:proofErr w:type="spellStart"/>
      <w:r w:rsidRPr="00C51255">
        <w:t>Programme</w:t>
      </w:r>
      <w:proofErr w:type="spellEnd"/>
      <w:r w:rsidRPr="00C51255">
        <w:t xml:space="preserve"> officers should be trained to conduct basic risk assessments at the </w:t>
      </w:r>
      <w:r w:rsidRPr="00C51255">
        <w:lastRenderedPageBreak/>
        <w:t>activity planning level, embedding risk thinking into the day-to-day implementation cycle rather than treating it as an annual governance exercise.</w:t>
      </w:r>
    </w:p>
    <w:p w:rsidR="00011948" w:rsidRPr="00C51255" w:rsidRDefault="00BB4E48" w:rsidP="00C51255">
      <w:pPr>
        <w:pStyle w:val="Heading3"/>
        <w:spacing w:line="360" w:lineRule="auto"/>
        <w:rPr>
          <w:i w:val="0"/>
        </w:rPr>
      </w:pPr>
      <w:r w:rsidRPr="00C51255">
        <w:rPr>
          <w:i w:val="0"/>
        </w:rPr>
        <w:t>5.4.3 Recommendations for Theory and Future Research</w:t>
      </w:r>
    </w:p>
    <w:p w:rsidR="00011948" w:rsidRPr="00C51255" w:rsidRDefault="00C51255" w:rsidP="00C51255">
      <w:r w:rsidRPr="00C51255">
        <w:t>The study recommends that scholars extend the conceptual framework applied in this study by incorporating Resource Dependence Theory and Agency Theory as complementary theoretical lenses through which donor-NGO accountability dynamics and their moderating influence on risk governance effectiveness can be examined. Future theoretical development should also investigate organizational size, funding source diversification, and leadership tenure as moderating variables in the risk management-sustainability relationship, given the theoretical plausibility that these contextual factors shape both the capacity to implement risk practices and the sensitivity of sustainability outcomes to risk governance quality. Qualitative and mixed-methods studies profiling NGOs that have maintained exceptional sustainability despite severe resource constraints would further enrich the theoretical landscape by surfacing the contextual mechanisms through which risk governance translates</w:t>
      </w:r>
      <w:r>
        <w:t xml:space="preserve"> into organizational resilience</w:t>
      </w:r>
      <w:r w:rsidRPr="00C51255">
        <w:t>.</w:t>
      </w:r>
    </w:p>
    <w:p w:rsidR="00011948" w:rsidRPr="00C51255" w:rsidRDefault="00BB4E48" w:rsidP="00C51255">
      <w:pPr>
        <w:pStyle w:val="Heading2"/>
        <w:spacing w:line="360" w:lineRule="auto"/>
      </w:pPr>
      <w:r w:rsidRPr="00C51255">
        <w:t>5.5 Limitations of the Study</w:t>
      </w:r>
    </w:p>
    <w:p w:rsidR="00011948" w:rsidRDefault="00BB4E48" w:rsidP="00C51255">
      <w:pPr>
        <w:ind w:firstLine="720"/>
      </w:pPr>
      <w:r w:rsidRPr="00C51255">
        <w:t>This study encountered several limitations in the course of its execution. Response bias was a notable concern given that questions on risk management practices touched on sensitive areas of organizational governance, with some respondents potentially reluctant to provide candid assessments of weaknesses in their risk systems despite assurances of anonymity and confidentiality. Additionally, the diversity of the Kenyan NGO sector in terms of organizational size, funding base, and operational mandate introduced variability that may limit the generalizability of findings to all NGO categories, notwithstanding the stratified sampling approach employed. The cross-sectional research design, while appropriate for the scope and timeline of the study, captured a snapshot of risk management practices and sustainability outcomes at a single point in time, which precludes causal inferences about the long-term trajectory of the relationships examined. Future studies employing longitudinal or panel designs would yield stronger evidence on the causal dynamics between risk management practices and NGO sustainability over time.</w:t>
      </w:r>
    </w:p>
    <w:p w:rsidR="00344FFE" w:rsidRPr="00C51255" w:rsidRDefault="00344FFE" w:rsidP="00C51255">
      <w:pPr>
        <w:ind w:firstLine="720"/>
      </w:pPr>
      <w:bookmarkStart w:id="0" w:name="_GoBack"/>
      <w:bookmarkEnd w:id="0"/>
    </w:p>
    <w:p w:rsidR="00011948" w:rsidRPr="00C51255" w:rsidRDefault="00BB4E48" w:rsidP="00C51255">
      <w:pPr>
        <w:pStyle w:val="Heading2"/>
        <w:spacing w:line="360" w:lineRule="auto"/>
      </w:pPr>
      <w:r w:rsidRPr="00C51255">
        <w:lastRenderedPageBreak/>
        <w:t>5.6 Suggestions for Further Research</w:t>
      </w:r>
    </w:p>
    <w:p w:rsidR="00011948" w:rsidRPr="00C51255" w:rsidRDefault="00BB4E48" w:rsidP="00C51255">
      <w:pPr>
        <w:ind w:firstLine="720"/>
      </w:pPr>
      <w:r w:rsidRPr="00C51255">
        <w:t xml:space="preserve">Based on the findings and limitations of this study, several directions for future research are proposed. First, a longitudinal study tracking the same cohort of NGOs over a period of three to five years would provide stronger evidence on the causal relationship between risk management practice maturity and sustainability outcomes, enabling more definitive policy prescriptions. Second, a comparative study examining risk management practices and sustainability across NGOs in Kenya, Uganda, and Tanzania would generate regionally </w:t>
      </w:r>
      <w:proofErr w:type="spellStart"/>
      <w:r w:rsidRPr="00C51255">
        <w:t>generalisable</w:t>
      </w:r>
      <w:proofErr w:type="spellEnd"/>
      <w:r w:rsidRPr="00C51255">
        <w:t xml:space="preserve"> findings and illuminate how contextual factors such as regulatory environment, donor composition, and political stability moderate the risk-sustainability relationship. Third, future research should investigate the role of organizational leadership and board composition as moderating variables in the relationship between risk management practices and NGO sustainability, given the centrality of governance quality to both constructs. Fourth, qualitative case study research profiling NGOs that have demonstrated exceptional sustainability despite resource constraints would complement the quantitative findings of this study and surface the contextual mechanisms through which effective risk management translates into organizational resilience.</w:t>
      </w:r>
    </w:p>
    <w:sectPr w:rsidR="00011948" w:rsidRPr="00C5125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514C6"/>
    <w:multiLevelType w:val="hybridMultilevel"/>
    <w:tmpl w:val="4C663308"/>
    <w:lvl w:ilvl="0" w:tplc="307A1FF8">
      <w:start w:val="1"/>
      <w:numFmt w:val="bullet"/>
      <w:lvlText w:val="●"/>
      <w:lvlJc w:val="left"/>
      <w:pPr>
        <w:ind w:left="720" w:hanging="360"/>
      </w:pPr>
    </w:lvl>
    <w:lvl w:ilvl="1" w:tplc="E33C33D4">
      <w:start w:val="1"/>
      <w:numFmt w:val="bullet"/>
      <w:lvlText w:val="○"/>
      <w:lvlJc w:val="left"/>
      <w:pPr>
        <w:ind w:left="1440" w:hanging="360"/>
      </w:pPr>
    </w:lvl>
    <w:lvl w:ilvl="2" w:tplc="AC3A9E56">
      <w:start w:val="1"/>
      <w:numFmt w:val="bullet"/>
      <w:lvlText w:val="■"/>
      <w:lvlJc w:val="left"/>
      <w:pPr>
        <w:ind w:left="2160" w:hanging="360"/>
      </w:pPr>
    </w:lvl>
    <w:lvl w:ilvl="3" w:tplc="B28424A6">
      <w:start w:val="1"/>
      <w:numFmt w:val="bullet"/>
      <w:lvlText w:val="●"/>
      <w:lvlJc w:val="left"/>
      <w:pPr>
        <w:ind w:left="2880" w:hanging="360"/>
      </w:pPr>
    </w:lvl>
    <w:lvl w:ilvl="4" w:tplc="67104FCC">
      <w:start w:val="1"/>
      <w:numFmt w:val="bullet"/>
      <w:lvlText w:val="○"/>
      <w:lvlJc w:val="left"/>
      <w:pPr>
        <w:ind w:left="3600" w:hanging="360"/>
      </w:pPr>
    </w:lvl>
    <w:lvl w:ilvl="5" w:tplc="95BA766C">
      <w:start w:val="1"/>
      <w:numFmt w:val="bullet"/>
      <w:lvlText w:val="■"/>
      <w:lvlJc w:val="left"/>
      <w:pPr>
        <w:ind w:left="4320" w:hanging="360"/>
      </w:pPr>
    </w:lvl>
    <w:lvl w:ilvl="6" w:tplc="886C31FA">
      <w:start w:val="1"/>
      <w:numFmt w:val="bullet"/>
      <w:lvlText w:val="●"/>
      <w:lvlJc w:val="left"/>
      <w:pPr>
        <w:ind w:left="5040" w:hanging="360"/>
      </w:pPr>
    </w:lvl>
    <w:lvl w:ilvl="7" w:tplc="BCD6DD8E">
      <w:start w:val="1"/>
      <w:numFmt w:val="bullet"/>
      <w:lvlText w:val="●"/>
      <w:lvlJc w:val="left"/>
      <w:pPr>
        <w:ind w:left="5760" w:hanging="360"/>
      </w:pPr>
    </w:lvl>
    <w:lvl w:ilvl="8" w:tplc="179AEA3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48"/>
    <w:rsid w:val="00011948"/>
    <w:rsid w:val="00344FFE"/>
    <w:rsid w:val="00411585"/>
    <w:rsid w:val="00BB4E48"/>
    <w:rsid w:val="00C5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BF28"/>
  <w15:docId w15:val="{59D71B59-82C3-4121-9D94-FF0E9A33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255"/>
    <w:pPr>
      <w:spacing w:before="120" w:after="120" w:line="360" w:lineRule="auto"/>
      <w:jc w:val="both"/>
    </w:pPr>
  </w:style>
  <w:style w:type="paragraph" w:styleId="Heading1">
    <w:name w:val="heading 1"/>
    <w:qFormat/>
    <w:pPr>
      <w:spacing w:before="240" w:after="120"/>
      <w:outlineLvl w:val="0"/>
    </w:pPr>
    <w:rPr>
      <w:b/>
      <w:bCs/>
      <w:color w:val="000000"/>
      <w:sz w:val="28"/>
      <w:szCs w:val="28"/>
    </w:rPr>
  </w:style>
  <w:style w:type="paragraph" w:styleId="Heading2">
    <w:name w:val="heading 2"/>
    <w:qFormat/>
    <w:pPr>
      <w:spacing w:before="200" w:after="100"/>
      <w:outlineLvl w:val="1"/>
    </w:pPr>
    <w:rPr>
      <w:b/>
      <w:bCs/>
      <w:color w:val="000000"/>
    </w:rPr>
  </w:style>
  <w:style w:type="paragraph" w:styleId="Heading3">
    <w:name w:val="heading 3"/>
    <w:qFormat/>
    <w:pPr>
      <w:spacing w:before="160" w:after="80"/>
      <w:outlineLvl w:val="2"/>
    </w:pPr>
    <w:rPr>
      <w:b/>
      <w:bCs/>
      <w:i/>
      <w:iCs/>
      <w:color w:val="000000"/>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Stratford Journals</cp:lastModifiedBy>
  <cp:revision>4</cp:revision>
  <dcterms:created xsi:type="dcterms:W3CDTF">2026-05-30T07:11:00Z</dcterms:created>
  <dcterms:modified xsi:type="dcterms:W3CDTF">2026-05-30T09:20:00Z</dcterms:modified>
</cp:coreProperties>
</file>