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3C7" w:rsidRDefault="00477740" w:rsidP="00447501">
      <w:pPr>
        <w:spacing w:after="240"/>
        <w:jc w:val="center"/>
        <w:rPr>
          <w:b/>
          <w:bCs/>
        </w:rPr>
      </w:pPr>
      <w:r w:rsidRPr="00477740">
        <w:rPr>
          <w:b/>
          <w:bCs/>
        </w:rPr>
        <w:t>INFLUENCE OF RISK MANAGEMENT PRACTICES ON THE SUSTAINABILITY OF NON-GOVERNMENTAL ORGANIZATIONS IN KENYA</w:t>
      </w:r>
    </w:p>
    <w:p w:rsidR="000A63C7" w:rsidRDefault="000A63C7" w:rsidP="00447501">
      <w:pPr>
        <w:spacing w:after="240"/>
        <w:jc w:val="center"/>
        <w:rPr>
          <w:b/>
          <w:bCs/>
        </w:rPr>
      </w:pPr>
    </w:p>
    <w:p w:rsidR="000A63C7" w:rsidRDefault="000A63C7" w:rsidP="00447501">
      <w:pPr>
        <w:spacing w:after="240"/>
        <w:jc w:val="center"/>
        <w:rPr>
          <w:b/>
          <w:bCs/>
        </w:rPr>
      </w:pPr>
    </w:p>
    <w:p w:rsidR="000A63C7" w:rsidRDefault="000A63C7" w:rsidP="00447501">
      <w:pPr>
        <w:spacing w:after="240"/>
        <w:jc w:val="center"/>
        <w:rPr>
          <w:b/>
          <w:bCs/>
        </w:rPr>
      </w:pPr>
    </w:p>
    <w:p w:rsidR="000A63C7" w:rsidRDefault="000A63C7" w:rsidP="00447501">
      <w:pPr>
        <w:spacing w:after="240"/>
        <w:jc w:val="center"/>
        <w:rPr>
          <w:b/>
          <w:bCs/>
        </w:rPr>
      </w:pPr>
      <w:bookmarkStart w:id="0" w:name="_GoBack"/>
      <w:bookmarkEnd w:id="0"/>
    </w:p>
    <w:p w:rsidR="000A63C7" w:rsidRDefault="000A63C7" w:rsidP="00447501">
      <w:pPr>
        <w:spacing w:after="240"/>
        <w:jc w:val="center"/>
        <w:rPr>
          <w:b/>
          <w:bCs/>
        </w:rPr>
      </w:pPr>
    </w:p>
    <w:p w:rsidR="000A63C7" w:rsidRDefault="00760CF4" w:rsidP="00447501">
      <w:pPr>
        <w:spacing w:after="240"/>
        <w:jc w:val="center"/>
        <w:rPr>
          <w:b/>
          <w:bCs/>
        </w:rPr>
      </w:pPr>
      <w:r>
        <w:rPr>
          <w:b/>
          <w:bCs/>
        </w:rPr>
        <w:t>CHAPTER ONE</w:t>
      </w:r>
    </w:p>
    <w:p w:rsidR="000A63C7" w:rsidRDefault="000A63C7" w:rsidP="00447501">
      <w:pPr>
        <w:spacing w:after="240"/>
        <w:jc w:val="center"/>
        <w:rPr>
          <w:b/>
          <w:bCs/>
        </w:rPr>
      </w:pPr>
    </w:p>
    <w:p w:rsidR="000A63C7" w:rsidRDefault="000A63C7" w:rsidP="00447501">
      <w:pPr>
        <w:spacing w:after="240"/>
        <w:jc w:val="center"/>
        <w:rPr>
          <w:b/>
          <w:bCs/>
        </w:rPr>
      </w:pPr>
    </w:p>
    <w:p w:rsidR="000A63C7" w:rsidRDefault="000A63C7" w:rsidP="00447501">
      <w:pPr>
        <w:spacing w:after="240"/>
        <w:jc w:val="center"/>
        <w:rPr>
          <w:b/>
          <w:bCs/>
        </w:rPr>
      </w:pPr>
    </w:p>
    <w:p w:rsidR="000A63C7" w:rsidRDefault="000A63C7" w:rsidP="00447501">
      <w:pPr>
        <w:spacing w:after="240"/>
        <w:jc w:val="center"/>
        <w:rPr>
          <w:b/>
          <w:bCs/>
        </w:rPr>
      </w:pPr>
    </w:p>
    <w:p w:rsidR="000A63C7" w:rsidRDefault="000A63C7" w:rsidP="00447501">
      <w:pPr>
        <w:spacing w:after="240"/>
        <w:jc w:val="center"/>
        <w:rPr>
          <w:b/>
          <w:bCs/>
        </w:rPr>
      </w:pPr>
    </w:p>
    <w:p w:rsidR="000A63C7" w:rsidRDefault="000A63C7" w:rsidP="00447501">
      <w:pPr>
        <w:spacing w:after="240"/>
        <w:jc w:val="center"/>
        <w:rPr>
          <w:b/>
          <w:bCs/>
        </w:rPr>
      </w:pPr>
    </w:p>
    <w:p w:rsidR="000A63C7" w:rsidRDefault="000A63C7" w:rsidP="00447501">
      <w:pPr>
        <w:spacing w:after="240"/>
        <w:jc w:val="center"/>
        <w:rPr>
          <w:b/>
          <w:bCs/>
        </w:rPr>
      </w:pPr>
    </w:p>
    <w:p w:rsidR="000A63C7" w:rsidRDefault="000A63C7" w:rsidP="00447501">
      <w:pPr>
        <w:spacing w:after="240"/>
        <w:jc w:val="center"/>
        <w:rPr>
          <w:b/>
          <w:bCs/>
        </w:rPr>
      </w:pPr>
    </w:p>
    <w:p w:rsidR="00477740" w:rsidRDefault="00477740" w:rsidP="00447501">
      <w:pPr>
        <w:spacing w:after="240"/>
        <w:jc w:val="center"/>
        <w:rPr>
          <w:b/>
          <w:bCs/>
        </w:rPr>
      </w:pPr>
    </w:p>
    <w:p w:rsidR="000A63C7" w:rsidRDefault="000A63C7" w:rsidP="00447501">
      <w:pPr>
        <w:spacing w:after="240"/>
        <w:jc w:val="center"/>
        <w:rPr>
          <w:b/>
          <w:bCs/>
        </w:rPr>
      </w:pPr>
    </w:p>
    <w:p w:rsidR="000A63C7" w:rsidRDefault="000A63C7" w:rsidP="00447501">
      <w:pPr>
        <w:spacing w:after="240"/>
        <w:jc w:val="center"/>
        <w:rPr>
          <w:b/>
          <w:bCs/>
        </w:rPr>
      </w:pPr>
    </w:p>
    <w:p w:rsidR="000A63C7" w:rsidRDefault="000A63C7" w:rsidP="00447501">
      <w:pPr>
        <w:spacing w:after="240"/>
        <w:jc w:val="center"/>
      </w:pPr>
    </w:p>
    <w:p w:rsidR="005E22AC" w:rsidRDefault="005E22AC" w:rsidP="005E22AC">
      <w:pPr>
        <w:pStyle w:val="Heading1"/>
      </w:pPr>
      <w:bookmarkStart w:id="1" w:name="_Toc230421136"/>
      <w:r w:rsidRPr="005E22AC">
        <w:lastRenderedPageBreak/>
        <w:t>TABLE</w:t>
      </w:r>
      <w:r>
        <w:t xml:space="preserve"> </w:t>
      </w:r>
      <w:r w:rsidRPr="005E22AC">
        <w:t>OF</w:t>
      </w:r>
      <w:r>
        <w:t xml:space="preserve"> CONTENTS</w:t>
      </w:r>
      <w:bookmarkEnd w:id="1"/>
    </w:p>
    <w:p w:rsidR="00752CCE" w:rsidRDefault="005E22AC">
      <w:pPr>
        <w:pStyle w:val="TOC1"/>
        <w:tabs>
          <w:tab w:val="right" w:leader="dot" w:pos="9350"/>
        </w:tabs>
        <w:rPr>
          <w:rFonts w:asciiTheme="minorHAnsi" w:eastAsiaTheme="minorEastAsia" w:hAnsiTheme="minorHAnsi" w:cstheme="minorBidi"/>
          <w:b w:val="0"/>
          <w:noProof/>
          <w:sz w:val="22"/>
          <w:szCs w:val="22"/>
        </w:rPr>
      </w:pPr>
      <w:r>
        <w:rPr>
          <w:b w:val="0"/>
        </w:rPr>
        <w:fldChar w:fldCharType="begin"/>
      </w:r>
      <w:r>
        <w:rPr>
          <w:b w:val="0"/>
        </w:rPr>
        <w:instrText xml:space="preserve"> TOC \o "1-3" \h \z \u </w:instrText>
      </w:r>
      <w:r>
        <w:rPr>
          <w:b w:val="0"/>
        </w:rPr>
        <w:fldChar w:fldCharType="separate"/>
      </w:r>
      <w:hyperlink w:anchor="_Toc230421136" w:history="1">
        <w:r w:rsidR="00752CCE" w:rsidRPr="007D16C2">
          <w:rPr>
            <w:rStyle w:val="Hyperlink"/>
            <w:noProof/>
          </w:rPr>
          <w:t>TABLE OF CONTENTS</w:t>
        </w:r>
        <w:r w:rsidR="00752CCE">
          <w:rPr>
            <w:noProof/>
            <w:webHidden/>
          </w:rPr>
          <w:tab/>
        </w:r>
        <w:r w:rsidR="00752CCE">
          <w:rPr>
            <w:noProof/>
            <w:webHidden/>
          </w:rPr>
          <w:fldChar w:fldCharType="begin"/>
        </w:r>
        <w:r w:rsidR="00752CCE">
          <w:rPr>
            <w:noProof/>
            <w:webHidden/>
          </w:rPr>
          <w:instrText xml:space="preserve"> PAGEREF _Toc230421136 \h </w:instrText>
        </w:r>
        <w:r w:rsidR="00752CCE">
          <w:rPr>
            <w:noProof/>
            <w:webHidden/>
          </w:rPr>
        </w:r>
        <w:r w:rsidR="00752CCE">
          <w:rPr>
            <w:noProof/>
            <w:webHidden/>
          </w:rPr>
          <w:fldChar w:fldCharType="separate"/>
        </w:r>
        <w:r w:rsidR="00752CCE">
          <w:rPr>
            <w:noProof/>
            <w:webHidden/>
          </w:rPr>
          <w:t>ii</w:t>
        </w:r>
        <w:r w:rsidR="00752CCE">
          <w:rPr>
            <w:noProof/>
            <w:webHidden/>
          </w:rPr>
          <w:fldChar w:fldCharType="end"/>
        </w:r>
      </w:hyperlink>
    </w:p>
    <w:p w:rsidR="00752CCE" w:rsidRDefault="00752CCE">
      <w:pPr>
        <w:pStyle w:val="TOC1"/>
        <w:tabs>
          <w:tab w:val="right" w:leader="dot" w:pos="9350"/>
        </w:tabs>
        <w:rPr>
          <w:rFonts w:asciiTheme="minorHAnsi" w:eastAsiaTheme="minorEastAsia" w:hAnsiTheme="minorHAnsi" w:cstheme="minorBidi"/>
          <w:b w:val="0"/>
          <w:noProof/>
          <w:sz w:val="22"/>
          <w:szCs w:val="22"/>
        </w:rPr>
      </w:pPr>
      <w:hyperlink w:anchor="_Toc230421137" w:history="1">
        <w:r w:rsidRPr="007D16C2">
          <w:rPr>
            <w:rStyle w:val="Hyperlink"/>
            <w:noProof/>
          </w:rPr>
          <w:t>CHAPTER ONE</w:t>
        </w:r>
        <w:r>
          <w:rPr>
            <w:noProof/>
            <w:webHidden/>
          </w:rPr>
          <w:tab/>
        </w:r>
        <w:r>
          <w:rPr>
            <w:noProof/>
            <w:webHidden/>
          </w:rPr>
          <w:fldChar w:fldCharType="begin"/>
        </w:r>
        <w:r>
          <w:rPr>
            <w:noProof/>
            <w:webHidden/>
          </w:rPr>
          <w:instrText xml:space="preserve"> PAGEREF _Toc230421137 \h </w:instrText>
        </w:r>
        <w:r>
          <w:rPr>
            <w:noProof/>
            <w:webHidden/>
          </w:rPr>
        </w:r>
        <w:r>
          <w:rPr>
            <w:noProof/>
            <w:webHidden/>
          </w:rPr>
          <w:fldChar w:fldCharType="separate"/>
        </w:r>
        <w:r>
          <w:rPr>
            <w:noProof/>
            <w:webHidden/>
          </w:rPr>
          <w:t>1</w:t>
        </w:r>
        <w:r>
          <w:rPr>
            <w:noProof/>
            <w:webHidden/>
          </w:rPr>
          <w:fldChar w:fldCharType="end"/>
        </w:r>
      </w:hyperlink>
    </w:p>
    <w:p w:rsidR="00752CCE" w:rsidRDefault="00752CCE">
      <w:pPr>
        <w:pStyle w:val="TOC1"/>
        <w:tabs>
          <w:tab w:val="right" w:leader="dot" w:pos="9350"/>
        </w:tabs>
        <w:rPr>
          <w:rFonts w:asciiTheme="minorHAnsi" w:eastAsiaTheme="minorEastAsia" w:hAnsiTheme="minorHAnsi" w:cstheme="minorBidi"/>
          <w:b w:val="0"/>
          <w:noProof/>
          <w:sz w:val="22"/>
          <w:szCs w:val="22"/>
        </w:rPr>
      </w:pPr>
      <w:hyperlink w:anchor="_Toc230421138" w:history="1">
        <w:r w:rsidRPr="007D16C2">
          <w:rPr>
            <w:rStyle w:val="Hyperlink"/>
            <w:noProof/>
          </w:rPr>
          <w:t>INTRODUCTION</w:t>
        </w:r>
        <w:r>
          <w:rPr>
            <w:noProof/>
            <w:webHidden/>
          </w:rPr>
          <w:tab/>
        </w:r>
        <w:r>
          <w:rPr>
            <w:noProof/>
            <w:webHidden/>
          </w:rPr>
          <w:fldChar w:fldCharType="begin"/>
        </w:r>
        <w:r>
          <w:rPr>
            <w:noProof/>
            <w:webHidden/>
          </w:rPr>
          <w:instrText xml:space="preserve"> PAGEREF _Toc230421138 \h </w:instrText>
        </w:r>
        <w:r>
          <w:rPr>
            <w:noProof/>
            <w:webHidden/>
          </w:rPr>
        </w:r>
        <w:r>
          <w:rPr>
            <w:noProof/>
            <w:webHidden/>
          </w:rPr>
          <w:fldChar w:fldCharType="separate"/>
        </w:r>
        <w:r>
          <w:rPr>
            <w:noProof/>
            <w:webHidden/>
          </w:rPr>
          <w:t>1</w:t>
        </w:r>
        <w:r>
          <w:rPr>
            <w:noProof/>
            <w:webHidden/>
          </w:rPr>
          <w:fldChar w:fldCharType="end"/>
        </w:r>
      </w:hyperlink>
    </w:p>
    <w:p w:rsidR="00752CCE" w:rsidRDefault="00752CCE">
      <w:pPr>
        <w:pStyle w:val="TOC2"/>
        <w:tabs>
          <w:tab w:val="right" w:leader="dot" w:pos="9350"/>
        </w:tabs>
        <w:rPr>
          <w:rFonts w:asciiTheme="minorHAnsi" w:eastAsiaTheme="minorEastAsia" w:hAnsiTheme="minorHAnsi" w:cstheme="minorBidi"/>
          <w:noProof/>
          <w:sz w:val="22"/>
          <w:szCs w:val="22"/>
        </w:rPr>
      </w:pPr>
      <w:hyperlink w:anchor="_Toc230421139" w:history="1">
        <w:r w:rsidRPr="007D16C2">
          <w:rPr>
            <w:rStyle w:val="Hyperlink"/>
            <w:noProof/>
          </w:rPr>
          <w:t>1.0 Introduction</w:t>
        </w:r>
        <w:r>
          <w:rPr>
            <w:noProof/>
            <w:webHidden/>
          </w:rPr>
          <w:tab/>
        </w:r>
        <w:r>
          <w:rPr>
            <w:noProof/>
            <w:webHidden/>
          </w:rPr>
          <w:fldChar w:fldCharType="begin"/>
        </w:r>
        <w:r>
          <w:rPr>
            <w:noProof/>
            <w:webHidden/>
          </w:rPr>
          <w:instrText xml:space="preserve"> PAGEREF _Toc230421139 \h </w:instrText>
        </w:r>
        <w:r>
          <w:rPr>
            <w:noProof/>
            <w:webHidden/>
          </w:rPr>
        </w:r>
        <w:r>
          <w:rPr>
            <w:noProof/>
            <w:webHidden/>
          </w:rPr>
          <w:fldChar w:fldCharType="separate"/>
        </w:r>
        <w:r>
          <w:rPr>
            <w:noProof/>
            <w:webHidden/>
          </w:rPr>
          <w:t>1</w:t>
        </w:r>
        <w:r>
          <w:rPr>
            <w:noProof/>
            <w:webHidden/>
          </w:rPr>
          <w:fldChar w:fldCharType="end"/>
        </w:r>
      </w:hyperlink>
    </w:p>
    <w:p w:rsidR="00752CCE" w:rsidRDefault="00752CCE">
      <w:pPr>
        <w:pStyle w:val="TOC2"/>
        <w:tabs>
          <w:tab w:val="right" w:leader="dot" w:pos="9350"/>
        </w:tabs>
        <w:rPr>
          <w:rFonts w:asciiTheme="minorHAnsi" w:eastAsiaTheme="minorEastAsia" w:hAnsiTheme="minorHAnsi" w:cstheme="minorBidi"/>
          <w:noProof/>
          <w:sz w:val="22"/>
          <w:szCs w:val="22"/>
        </w:rPr>
      </w:pPr>
      <w:hyperlink w:anchor="_Toc230421140" w:history="1">
        <w:r w:rsidRPr="007D16C2">
          <w:rPr>
            <w:rStyle w:val="Hyperlink"/>
            <w:noProof/>
          </w:rPr>
          <w:t>1.1 Background of the Study</w:t>
        </w:r>
        <w:r>
          <w:rPr>
            <w:noProof/>
            <w:webHidden/>
          </w:rPr>
          <w:tab/>
        </w:r>
        <w:r>
          <w:rPr>
            <w:noProof/>
            <w:webHidden/>
          </w:rPr>
          <w:fldChar w:fldCharType="begin"/>
        </w:r>
        <w:r>
          <w:rPr>
            <w:noProof/>
            <w:webHidden/>
          </w:rPr>
          <w:instrText xml:space="preserve"> PAGEREF _Toc230421140 \h </w:instrText>
        </w:r>
        <w:r>
          <w:rPr>
            <w:noProof/>
            <w:webHidden/>
          </w:rPr>
        </w:r>
        <w:r>
          <w:rPr>
            <w:noProof/>
            <w:webHidden/>
          </w:rPr>
          <w:fldChar w:fldCharType="separate"/>
        </w:r>
        <w:r>
          <w:rPr>
            <w:noProof/>
            <w:webHidden/>
          </w:rPr>
          <w:t>1</w:t>
        </w:r>
        <w:r>
          <w:rPr>
            <w:noProof/>
            <w:webHidden/>
          </w:rPr>
          <w:fldChar w:fldCharType="end"/>
        </w:r>
      </w:hyperlink>
    </w:p>
    <w:p w:rsidR="00752CCE" w:rsidRDefault="00752CCE">
      <w:pPr>
        <w:pStyle w:val="TOC3"/>
        <w:tabs>
          <w:tab w:val="right" w:leader="dot" w:pos="9350"/>
        </w:tabs>
        <w:rPr>
          <w:rFonts w:asciiTheme="minorHAnsi" w:eastAsiaTheme="minorEastAsia" w:hAnsiTheme="minorHAnsi" w:cstheme="minorBidi"/>
          <w:noProof/>
          <w:sz w:val="22"/>
          <w:szCs w:val="22"/>
        </w:rPr>
      </w:pPr>
      <w:hyperlink w:anchor="_Toc230421141" w:history="1">
        <w:r w:rsidRPr="007D16C2">
          <w:rPr>
            <w:rStyle w:val="Hyperlink"/>
            <w:noProof/>
          </w:rPr>
          <w:t>1.1.1 Risk Management Practices</w:t>
        </w:r>
        <w:r>
          <w:rPr>
            <w:noProof/>
            <w:webHidden/>
          </w:rPr>
          <w:tab/>
        </w:r>
        <w:r>
          <w:rPr>
            <w:noProof/>
            <w:webHidden/>
          </w:rPr>
          <w:fldChar w:fldCharType="begin"/>
        </w:r>
        <w:r>
          <w:rPr>
            <w:noProof/>
            <w:webHidden/>
          </w:rPr>
          <w:instrText xml:space="preserve"> PAGEREF _Toc230421141 \h </w:instrText>
        </w:r>
        <w:r>
          <w:rPr>
            <w:noProof/>
            <w:webHidden/>
          </w:rPr>
        </w:r>
        <w:r>
          <w:rPr>
            <w:noProof/>
            <w:webHidden/>
          </w:rPr>
          <w:fldChar w:fldCharType="separate"/>
        </w:r>
        <w:r>
          <w:rPr>
            <w:noProof/>
            <w:webHidden/>
          </w:rPr>
          <w:t>3</w:t>
        </w:r>
        <w:r>
          <w:rPr>
            <w:noProof/>
            <w:webHidden/>
          </w:rPr>
          <w:fldChar w:fldCharType="end"/>
        </w:r>
      </w:hyperlink>
    </w:p>
    <w:p w:rsidR="00752CCE" w:rsidRDefault="00752CCE">
      <w:pPr>
        <w:pStyle w:val="TOC3"/>
        <w:tabs>
          <w:tab w:val="right" w:leader="dot" w:pos="9350"/>
        </w:tabs>
        <w:rPr>
          <w:rFonts w:asciiTheme="minorHAnsi" w:eastAsiaTheme="minorEastAsia" w:hAnsiTheme="minorHAnsi" w:cstheme="minorBidi"/>
          <w:noProof/>
          <w:sz w:val="22"/>
          <w:szCs w:val="22"/>
        </w:rPr>
      </w:pPr>
      <w:hyperlink w:anchor="_Toc230421142" w:history="1">
        <w:r w:rsidRPr="007D16C2">
          <w:rPr>
            <w:rStyle w:val="Hyperlink"/>
            <w:noProof/>
          </w:rPr>
          <w:t>1.1.2 Sustainability</w:t>
        </w:r>
        <w:r>
          <w:rPr>
            <w:noProof/>
            <w:webHidden/>
          </w:rPr>
          <w:tab/>
        </w:r>
        <w:r>
          <w:rPr>
            <w:noProof/>
            <w:webHidden/>
          </w:rPr>
          <w:fldChar w:fldCharType="begin"/>
        </w:r>
        <w:r>
          <w:rPr>
            <w:noProof/>
            <w:webHidden/>
          </w:rPr>
          <w:instrText xml:space="preserve"> PAGEREF _Toc230421142 \h </w:instrText>
        </w:r>
        <w:r>
          <w:rPr>
            <w:noProof/>
            <w:webHidden/>
          </w:rPr>
        </w:r>
        <w:r>
          <w:rPr>
            <w:noProof/>
            <w:webHidden/>
          </w:rPr>
          <w:fldChar w:fldCharType="separate"/>
        </w:r>
        <w:r>
          <w:rPr>
            <w:noProof/>
            <w:webHidden/>
          </w:rPr>
          <w:t>4</w:t>
        </w:r>
        <w:r>
          <w:rPr>
            <w:noProof/>
            <w:webHidden/>
          </w:rPr>
          <w:fldChar w:fldCharType="end"/>
        </w:r>
      </w:hyperlink>
    </w:p>
    <w:p w:rsidR="00752CCE" w:rsidRDefault="00752CCE">
      <w:pPr>
        <w:pStyle w:val="TOC3"/>
        <w:tabs>
          <w:tab w:val="right" w:leader="dot" w:pos="9350"/>
        </w:tabs>
        <w:rPr>
          <w:rFonts w:asciiTheme="minorHAnsi" w:eastAsiaTheme="minorEastAsia" w:hAnsiTheme="minorHAnsi" w:cstheme="minorBidi"/>
          <w:noProof/>
          <w:sz w:val="22"/>
          <w:szCs w:val="22"/>
        </w:rPr>
      </w:pPr>
      <w:hyperlink w:anchor="_Toc230421143" w:history="1">
        <w:r w:rsidRPr="007D16C2">
          <w:rPr>
            <w:rStyle w:val="Hyperlink"/>
            <w:noProof/>
          </w:rPr>
          <w:t>1.1.3 Non-Governmental Organizations in Kenya</w:t>
        </w:r>
        <w:r>
          <w:rPr>
            <w:noProof/>
            <w:webHidden/>
          </w:rPr>
          <w:tab/>
        </w:r>
        <w:r>
          <w:rPr>
            <w:noProof/>
            <w:webHidden/>
          </w:rPr>
          <w:fldChar w:fldCharType="begin"/>
        </w:r>
        <w:r>
          <w:rPr>
            <w:noProof/>
            <w:webHidden/>
          </w:rPr>
          <w:instrText xml:space="preserve"> PAGEREF _Toc230421143 \h </w:instrText>
        </w:r>
        <w:r>
          <w:rPr>
            <w:noProof/>
            <w:webHidden/>
          </w:rPr>
        </w:r>
        <w:r>
          <w:rPr>
            <w:noProof/>
            <w:webHidden/>
          </w:rPr>
          <w:fldChar w:fldCharType="separate"/>
        </w:r>
        <w:r>
          <w:rPr>
            <w:noProof/>
            <w:webHidden/>
          </w:rPr>
          <w:t>5</w:t>
        </w:r>
        <w:r>
          <w:rPr>
            <w:noProof/>
            <w:webHidden/>
          </w:rPr>
          <w:fldChar w:fldCharType="end"/>
        </w:r>
      </w:hyperlink>
    </w:p>
    <w:p w:rsidR="00752CCE" w:rsidRDefault="00752CCE">
      <w:pPr>
        <w:pStyle w:val="TOC2"/>
        <w:tabs>
          <w:tab w:val="right" w:leader="dot" w:pos="9350"/>
        </w:tabs>
        <w:rPr>
          <w:rFonts w:asciiTheme="minorHAnsi" w:eastAsiaTheme="minorEastAsia" w:hAnsiTheme="minorHAnsi" w:cstheme="minorBidi"/>
          <w:noProof/>
          <w:sz w:val="22"/>
          <w:szCs w:val="22"/>
        </w:rPr>
      </w:pPr>
      <w:hyperlink w:anchor="_Toc230421144" w:history="1">
        <w:r w:rsidRPr="007D16C2">
          <w:rPr>
            <w:rStyle w:val="Hyperlink"/>
            <w:noProof/>
          </w:rPr>
          <w:t>1.2 Statement of the Problem</w:t>
        </w:r>
        <w:r>
          <w:rPr>
            <w:noProof/>
            <w:webHidden/>
          </w:rPr>
          <w:tab/>
        </w:r>
        <w:r>
          <w:rPr>
            <w:noProof/>
            <w:webHidden/>
          </w:rPr>
          <w:fldChar w:fldCharType="begin"/>
        </w:r>
        <w:r>
          <w:rPr>
            <w:noProof/>
            <w:webHidden/>
          </w:rPr>
          <w:instrText xml:space="preserve"> PAGEREF _Toc230421144 \h </w:instrText>
        </w:r>
        <w:r>
          <w:rPr>
            <w:noProof/>
            <w:webHidden/>
          </w:rPr>
        </w:r>
        <w:r>
          <w:rPr>
            <w:noProof/>
            <w:webHidden/>
          </w:rPr>
          <w:fldChar w:fldCharType="separate"/>
        </w:r>
        <w:r>
          <w:rPr>
            <w:noProof/>
            <w:webHidden/>
          </w:rPr>
          <w:t>6</w:t>
        </w:r>
        <w:r>
          <w:rPr>
            <w:noProof/>
            <w:webHidden/>
          </w:rPr>
          <w:fldChar w:fldCharType="end"/>
        </w:r>
      </w:hyperlink>
    </w:p>
    <w:p w:rsidR="00752CCE" w:rsidRDefault="00752CCE">
      <w:pPr>
        <w:pStyle w:val="TOC2"/>
        <w:tabs>
          <w:tab w:val="right" w:leader="dot" w:pos="9350"/>
        </w:tabs>
        <w:rPr>
          <w:rFonts w:asciiTheme="minorHAnsi" w:eastAsiaTheme="minorEastAsia" w:hAnsiTheme="minorHAnsi" w:cstheme="minorBidi"/>
          <w:noProof/>
          <w:sz w:val="22"/>
          <w:szCs w:val="22"/>
        </w:rPr>
      </w:pPr>
      <w:hyperlink w:anchor="_Toc230421145" w:history="1">
        <w:r w:rsidRPr="007D16C2">
          <w:rPr>
            <w:rStyle w:val="Hyperlink"/>
            <w:noProof/>
          </w:rPr>
          <w:t>1.3 Objectives of the Study</w:t>
        </w:r>
        <w:r>
          <w:rPr>
            <w:noProof/>
            <w:webHidden/>
          </w:rPr>
          <w:tab/>
        </w:r>
        <w:r>
          <w:rPr>
            <w:noProof/>
            <w:webHidden/>
          </w:rPr>
          <w:fldChar w:fldCharType="begin"/>
        </w:r>
        <w:r>
          <w:rPr>
            <w:noProof/>
            <w:webHidden/>
          </w:rPr>
          <w:instrText xml:space="preserve"> PAGEREF _Toc230421145 \h </w:instrText>
        </w:r>
        <w:r>
          <w:rPr>
            <w:noProof/>
            <w:webHidden/>
          </w:rPr>
        </w:r>
        <w:r>
          <w:rPr>
            <w:noProof/>
            <w:webHidden/>
          </w:rPr>
          <w:fldChar w:fldCharType="separate"/>
        </w:r>
        <w:r>
          <w:rPr>
            <w:noProof/>
            <w:webHidden/>
          </w:rPr>
          <w:t>7</w:t>
        </w:r>
        <w:r>
          <w:rPr>
            <w:noProof/>
            <w:webHidden/>
          </w:rPr>
          <w:fldChar w:fldCharType="end"/>
        </w:r>
      </w:hyperlink>
    </w:p>
    <w:p w:rsidR="00752CCE" w:rsidRDefault="00752CCE">
      <w:pPr>
        <w:pStyle w:val="TOC3"/>
        <w:tabs>
          <w:tab w:val="right" w:leader="dot" w:pos="9350"/>
        </w:tabs>
        <w:rPr>
          <w:rFonts w:asciiTheme="minorHAnsi" w:eastAsiaTheme="minorEastAsia" w:hAnsiTheme="minorHAnsi" w:cstheme="minorBidi"/>
          <w:noProof/>
          <w:sz w:val="22"/>
          <w:szCs w:val="22"/>
        </w:rPr>
      </w:pPr>
      <w:hyperlink w:anchor="_Toc230421146" w:history="1">
        <w:r w:rsidRPr="007D16C2">
          <w:rPr>
            <w:rStyle w:val="Hyperlink"/>
            <w:noProof/>
          </w:rPr>
          <w:t>1.3.1 General Objective</w:t>
        </w:r>
        <w:r>
          <w:rPr>
            <w:noProof/>
            <w:webHidden/>
          </w:rPr>
          <w:tab/>
        </w:r>
        <w:r>
          <w:rPr>
            <w:noProof/>
            <w:webHidden/>
          </w:rPr>
          <w:fldChar w:fldCharType="begin"/>
        </w:r>
        <w:r>
          <w:rPr>
            <w:noProof/>
            <w:webHidden/>
          </w:rPr>
          <w:instrText xml:space="preserve"> PAGEREF _Toc230421146 \h </w:instrText>
        </w:r>
        <w:r>
          <w:rPr>
            <w:noProof/>
            <w:webHidden/>
          </w:rPr>
        </w:r>
        <w:r>
          <w:rPr>
            <w:noProof/>
            <w:webHidden/>
          </w:rPr>
          <w:fldChar w:fldCharType="separate"/>
        </w:r>
        <w:r>
          <w:rPr>
            <w:noProof/>
            <w:webHidden/>
          </w:rPr>
          <w:t>7</w:t>
        </w:r>
        <w:r>
          <w:rPr>
            <w:noProof/>
            <w:webHidden/>
          </w:rPr>
          <w:fldChar w:fldCharType="end"/>
        </w:r>
      </w:hyperlink>
    </w:p>
    <w:p w:rsidR="00752CCE" w:rsidRDefault="00752CCE">
      <w:pPr>
        <w:pStyle w:val="TOC3"/>
        <w:tabs>
          <w:tab w:val="right" w:leader="dot" w:pos="9350"/>
        </w:tabs>
        <w:rPr>
          <w:rFonts w:asciiTheme="minorHAnsi" w:eastAsiaTheme="minorEastAsia" w:hAnsiTheme="minorHAnsi" w:cstheme="minorBidi"/>
          <w:noProof/>
          <w:sz w:val="22"/>
          <w:szCs w:val="22"/>
        </w:rPr>
      </w:pPr>
      <w:hyperlink w:anchor="_Toc230421147" w:history="1">
        <w:r w:rsidRPr="007D16C2">
          <w:rPr>
            <w:rStyle w:val="Hyperlink"/>
            <w:noProof/>
          </w:rPr>
          <w:t>1.3.2 Specific Objectives</w:t>
        </w:r>
        <w:r>
          <w:rPr>
            <w:noProof/>
            <w:webHidden/>
          </w:rPr>
          <w:tab/>
        </w:r>
        <w:r>
          <w:rPr>
            <w:noProof/>
            <w:webHidden/>
          </w:rPr>
          <w:fldChar w:fldCharType="begin"/>
        </w:r>
        <w:r>
          <w:rPr>
            <w:noProof/>
            <w:webHidden/>
          </w:rPr>
          <w:instrText xml:space="preserve"> PAGEREF _Toc230421147 \h </w:instrText>
        </w:r>
        <w:r>
          <w:rPr>
            <w:noProof/>
            <w:webHidden/>
          </w:rPr>
        </w:r>
        <w:r>
          <w:rPr>
            <w:noProof/>
            <w:webHidden/>
          </w:rPr>
          <w:fldChar w:fldCharType="separate"/>
        </w:r>
        <w:r>
          <w:rPr>
            <w:noProof/>
            <w:webHidden/>
          </w:rPr>
          <w:t>7</w:t>
        </w:r>
        <w:r>
          <w:rPr>
            <w:noProof/>
            <w:webHidden/>
          </w:rPr>
          <w:fldChar w:fldCharType="end"/>
        </w:r>
      </w:hyperlink>
    </w:p>
    <w:p w:rsidR="00752CCE" w:rsidRDefault="00752CCE">
      <w:pPr>
        <w:pStyle w:val="TOC2"/>
        <w:tabs>
          <w:tab w:val="right" w:leader="dot" w:pos="9350"/>
        </w:tabs>
        <w:rPr>
          <w:rFonts w:asciiTheme="minorHAnsi" w:eastAsiaTheme="minorEastAsia" w:hAnsiTheme="minorHAnsi" w:cstheme="minorBidi"/>
          <w:noProof/>
          <w:sz w:val="22"/>
          <w:szCs w:val="22"/>
        </w:rPr>
      </w:pPr>
      <w:hyperlink w:anchor="_Toc230421148" w:history="1">
        <w:r w:rsidRPr="007D16C2">
          <w:rPr>
            <w:rStyle w:val="Hyperlink"/>
            <w:noProof/>
          </w:rPr>
          <w:t>1.4 Research Hypotheses</w:t>
        </w:r>
        <w:r>
          <w:rPr>
            <w:noProof/>
            <w:webHidden/>
          </w:rPr>
          <w:tab/>
        </w:r>
        <w:r>
          <w:rPr>
            <w:noProof/>
            <w:webHidden/>
          </w:rPr>
          <w:fldChar w:fldCharType="begin"/>
        </w:r>
        <w:r>
          <w:rPr>
            <w:noProof/>
            <w:webHidden/>
          </w:rPr>
          <w:instrText xml:space="preserve"> PAGEREF _Toc230421148 \h </w:instrText>
        </w:r>
        <w:r>
          <w:rPr>
            <w:noProof/>
            <w:webHidden/>
          </w:rPr>
        </w:r>
        <w:r>
          <w:rPr>
            <w:noProof/>
            <w:webHidden/>
          </w:rPr>
          <w:fldChar w:fldCharType="separate"/>
        </w:r>
        <w:r>
          <w:rPr>
            <w:noProof/>
            <w:webHidden/>
          </w:rPr>
          <w:t>7</w:t>
        </w:r>
        <w:r>
          <w:rPr>
            <w:noProof/>
            <w:webHidden/>
          </w:rPr>
          <w:fldChar w:fldCharType="end"/>
        </w:r>
      </w:hyperlink>
    </w:p>
    <w:p w:rsidR="00752CCE" w:rsidRDefault="00752CCE">
      <w:pPr>
        <w:pStyle w:val="TOC2"/>
        <w:tabs>
          <w:tab w:val="right" w:leader="dot" w:pos="9350"/>
        </w:tabs>
        <w:rPr>
          <w:rFonts w:asciiTheme="minorHAnsi" w:eastAsiaTheme="minorEastAsia" w:hAnsiTheme="minorHAnsi" w:cstheme="minorBidi"/>
          <w:noProof/>
          <w:sz w:val="22"/>
          <w:szCs w:val="22"/>
        </w:rPr>
      </w:pPr>
      <w:hyperlink w:anchor="_Toc230421149" w:history="1">
        <w:r w:rsidRPr="007D16C2">
          <w:rPr>
            <w:rStyle w:val="Hyperlink"/>
            <w:noProof/>
          </w:rPr>
          <w:t>1.5 Significance of the Study</w:t>
        </w:r>
        <w:r>
          <w:rPr>
            <w:noProof/>
            <w:webHidden/>
          </w:rPr>
          <w:tab/>
        </w:r>
        <w:r>
          <w:rPr>
            <w:noProof/>
            <w:webHidden/>
          </w:rPr>
          <w:fldChar w:fldCharType="begin"/>
        </w:r>
        <w:r>
          <w:rPr>
            <w:noProof/>
            <w:webHidden/>
          </w:rPr>
          <w:instrText xml:space="preserve"> PAGEREF _Toc230421149 \h </w:instrText>
        </w:r>
        <w:r>
          <w:rPr>
            <w:noProof/>
            <w:webHidden/>
          </w:rPr>
        </w:r>
        <w:r>
          <w:rPr>
            <w:noProof/>
            <w:webHidden/>
          </w:rPr>
          <w:fldChar w:fldCharType="separate"/>
        </w:r>
        <w:r>
          <w:rPr>
            <w:noProof/>
            <w:webHidden/>
          </w:rPr>
          <w:t>8</w:t>
        </w:r>
        <w:r>
          <w:rPr>
            <w:noProof/>
            <w:webHidden/>
          </w:rPr>
          <w:fldChar w:fldCharType="end"/>
        </w:r>
      </w:hyperlink>
    </w:p>
    <w:p w:rsidR="00752CCE" w:rsidRDefault="00752CCE">
      <w:pPr>
        <w:pStyle w:val="TOC2"/>
        <w:tabs>
          <w:tab w:val="right" w:leader="dot" w:pos="9350"/>
        </w:tabs>
        <w:rPr>
          <w:rFonts w:asciiTheme="minorHAnsi" w:eastAsiaTheme="minorEastAsia" w:hAnsiTheme="minorHAnsi" w:cstheme="minorBidi"/>
          <w:noProof/>
          <w:sz w:val="22"/>
          <w:szCs w:val="22"/>
        </w:rPr>
      </w:pPr>
      <w:hyperlink w:anchor="_Toc230421150" w:history="1">
        <w:r w:rsidRPr="007D16C2">
          <w:rPr>
            <w:rStyle w:val="Hyperlink"/>
            <w:noProof/>
          </w:rPr>
          <w:t>1.6 Study Limitations</w:t>
        </w:r>
        <w:r>
          <w:rPr>
            <w:noProof/>
            <w:webHidden/>
          </w:rPr>
          <w:tab/>
        </w:r>
        <w:r>
          <w:rPr>
            <w:noProof/>
            <w:webHidden/>
          </w:rPr>
          <w:fldChar w:fldCharType="begin"/>
        </w:r>
        <w:r>
          <w:rPr>
            <w:noProof/>
            <w:webHidden/>
          </w:rPr>
          <w:instrText xml:space="preserve"> PAGEREF _Toc230421150 \h </w:instrText>
        </w:r>
        <w:r>
          <w:rPr>
            <w:noProof/>
            <w:webHidden/>
          </w:rPr>
        </w:r>
        <w:r>
          <w:rPr>
            <w:noProof/>
            <w:webHidden/>
          </w:rPr>
          <w:fldChar w:fldCharType="separate"/>
        </w:r>
        <w:r>
          <w:rPr>
            <w:noProof/>
            <w:webHidden/>
          </w:rPr>
          <w:t>9</w:t>
        </w:r>
        <w:r>
          <w:rPr>
            <w:noProof/>
            <w:webHidden/>
          </w:rPr>
          <w:fldChar w:fldCharType="end"/>
        </w:r>
      </w:hyperlink>
    </w:p>
    <w:p w:rsidR="00752CCE" w:rsidRDefault="00752CCE">
      <w:pPr>
        <w:pStyle w:val="TOC2"/>
        <w:tabs>
          <w:tab w:val="right" w:leader="dot" w:pos="9350"/>
        </w:tabs>
        <w:rPr>
          <w:rFonts w:asciiTheme="minorHAnsi" w:eastAsiaTheme="minorEastAsia" w:hAnsiTheme="minorHAnsi" w:cstheme="minorBidi"/>
          <w:noProof/>
          <w:sz w:val="22"/>
          <w:szCs w:val="22"/>
        </w:rPr>
      </w:pPr>
      <w:hyperlink w:anchor="_Toc230421151" w:history="1">
        <w:r w:rsidRPr="007D16C2">
          <w:rPr>
            <w:rStyle w:val="Hyperlink"/>
            <w:noProof/>
          </w:rPr>
          <w:t>1.7 Scope of the Study</w:t>
        </w:r>
        <w:r>
          <w:rPr>
            <w:noProof/>
            <w:webHidden/>
          </w:rPr>
          <w:tab/>
        </w:r>
        <w:r>
          <w:rPr>
            <w:noProof/>
            <w:webHidden/>
          </w:rPr>
          <w:fldChar w:fldCharType="begin"/>
        </w:r>
        <w:r>
          <w:rPr>
            <w:noProof/>
            <w:webHidden/>
          </w:rPr>
          <w:instrText xml:space="preserve"> PAGEREF _Toc230421151 \h </w:instrText>
        </w:r>
        <w:r>
          <w:rPr>
            <w:noProof/>
            <w:webHidden/>
          </w:rPr>
        </w:r>
        <w:r>
          <w:rPr>
            <w:noProof/>
            <w:webHidden/>
          </w:rPr>
          <w:fldChar w:fldCharType="separate"/>
        </w:r>
        <w:r>
          <w:rPr>
            <w:noProof/>
            <w:webHidden/>
          </w:rPr>
          <w:t>9</w:t>
        </w:r>
        <w:r>
          <w:rPr>
            <w:noProof/>
            <w:webHidden/>
          </w:rPr>
          <w:fldChar w:fldCharType="end"/>
        </w:r>
      </w:hyperlink>
    </w:p>
    <w:p w:rsidR="00752CCE" w:rsidRDefault="00752CCE">
      <w:pPr>
        <w:pStyle w:val="TOC2"/>
        <w:tabs>
          <w:tab w:val="right" w:leader="dot" w:pos="9350"/>
        </w:tabs>
        <w:rPr>
          <w:rFonts w:asciiTheme="minorHAnsi" w:eastAsiaTheme="minorEastAsia" w:hAnsiTheme="minorHAnsi" w:cstheme="minorBidi"/>
          <w:noProof/>
          <w:sz w:val="22"/>
          <w:szCs w:val="22"/>
        </w:rPr>
      </w:pPr>
      <w:hyperlink w:anchor="_Toc230421152" w:history="1">
        <w:r w:rsidRPr="007D16C2">
          <w:rPr>
            <w:rStyle w:val="Hyperlink"/>
            <w:noProof/>
          </w:rPr>
          <w:t>1.8 Definition of Key Terms</w:t>
        </w:r>
        <w:r>
          <w:rPr>
            <w:noProof/>
            <w:webHidden/>
          </w:rPr>
          <w:tab/>
        </w:r>
        <w:r>
          <w:rPr>
            <w:noProof/>
            <w:webHidden/>
          </w:rPr>
          <w:fldChar w:fldCharType="begin"/>
        </w:r>
        <w:r>
          <w:rPr>
            <w:noProof/>
            <w:webHidden/>
          </w:rPr>
          <w:instrText xml:space="preserve"> PAGEREF _Toc230421152 \h </w:instrText>
        </w:r>
        <w:r>
          <w:rPr>
            <w:noProof/>
            <w:webHidden/>
          </w:rPr>
        </w:r>
        <w:r>
          <w:rPr>
            <w:noProof/>
            <w:webHidden/>
          </w:rPr>
          <w:fldChar w:fldCharType="separate"/>
        </w:r>
        <w:r>
          <w:rPr>
            <w:noProof/>
            <w:webHidden/>
          </w:rPr>
          <w:t>9</w:t>
        </w:r>
        <w:r>
          <w:rPr>
            <w:noProof/>
            <w:webHidden/>
          </w:rPr>
          <w:fldChar w:fldCharType="end"/>
        </w:r>
      </w:hyperlink>
    </w:p>
    <w:p w:rsidR="00752CCE" w:rsidRDefault="00752CCE">
      <w:pPr>
        <w:pStyle w:val="TOC1"/>
        <w:tabs>
          <w:tab w:val="right" w:leader="dot" w:pos="9350"/>
        </w:tabs>
        <w:rPr>
          <w:rFonts w:asciiTheme="minorHAnsi" w:eastAsiaTheme="minorEastAsia" w:hAnsiTheme="minorHAnsi" w:cstheme="minorBidi"/>
          <w:b w:val="0"/>
          <w:noProof/>
          <w:sz w:val="22"/>
          <w:szCs w:val="22"/>
        </w:rPr>
      </w:pPr>
      <w:hyperlink w:anchor="_Toc230421153" w:history="1">
        <w:r w:rsidRPr="007D16C2">
          <w:rPr>
            <w:rStyle w:val="Hyperlink"/>
            <w:noProof/>
          </w:rPr>
          <w:t>REFERENCES</w:t>
        </w:r>
        <w:r>
          <w:rPr>
            <w:noProof/>
            <w:webHidden/>
          </w:rPr>
          <w:tab/>
        </w:r>
        <w:r>
          <w:rPr>
            <w:noProof/>
            <w:webHidden/>
          </w:rPr>
          <w:fldChar w:fldCharType="begin"/>
        </w:r>
        <w:r>
          <w:rPr>
            <w:noProof/>
            <w:webHidden/>
          </w:rPr>
          <w:instrText xml:space="preserve"> PAGEREF _Toc230421153 \h </w:instrText>
        </w:r>
        <w:r>
          <w:rPr>
            <w:noProof/>
            <w:webHidden/>
          </w:rPr>
        </w:r>
        <w:r>
          <w:rPr>
            <w:noProof/>
            <w:webHidden/>
          </w:rPr>
          <w:fldChar w:fldCharType="separate"/>
        </w:r>
        <w:r>
          <w:rPr>
            <w:noProof/>
            <w:webHidden/>
          </w:rPr>
          <w:t>11</w:t>
        </w:r>
        <w:r>
          <w:rPr>
            <w:noProof/>
            <w:webHidden/>
          </w:rPr>
          <w:fldChar w:fldCharType="end"/>
        </w:r>
      </w:hyperlink>
    </w:p>
    <w:p w:rsidR="005E22AC" w:rsidRDefault="005E22AC" w:rsidP="00447501">
      <w:pPr>
        <w:spacing w:after="240"/>
        <w:jc w:val="center"/>
      </w:pPr>
      <w:r>
        <w:rPr>
          <w:b/>
        </w:rPr>
        <w:fldChar w:fldCharType="end"/>
      </w:r>
    </w:p>
    <w:p w:rsidR="005E22AC" w:rsidRDefault="005E22AC" w:rsidP="00447501">
      <w:pPr>
        <w:spacing w:after="240"/>
        <w:jc w:val="center"/>
      </w:pPr>
    </w:p>
    <w:p w:rsidR="005E22AC" w:rsidRDefault="005E22AC" w:rsidP="00447501">
      <w:pPr>
        <w:spacing w:after="240"/>
        <w:jc w:val="center"/>
      </w:pPr>
    </w:p>
    <w:p w:rsidR="005E22AC" w:rsidRDefault="005E22AC" w:rsidP="00447501">
      <w:pPr>
        <w:spacing w:after="240"/>
        <w:jc w:val="center"/>
      </w:pPr>
    </w:p>
    <w:p w:rsidR="005E22AC" w:rsidRDefault="005E22AC" w:rsidP="005E22AC">
      <w:pPr>
        <w:pStyle w:val="Heading1"/>
        <w:sectPr w:rsidR="005E22AC" w:rsidSect="005E22AC">
          <w:footerReference w:type="default" r:id="rId8"/>
          <w:footerReference w:type="first" r:id="rId9"/>
          <w:pgSz w:w="12240" w:h="15840"/>
          <w:pgMar w:top="1440" w:right="1440" w:bottom="1440" w:left="1440" w:header="720" w:footer="720" w:gutter="0"/>
          <w:pgNumType w:fmt="lowerRoman"/>
          <w:cols w:space="720"/>
          <w:titlePg/>
          <w:docGrid w:linePitch="360"/>
        </w:sectPr>
      </w:pPr>
    </w:p>
    <w:p w:rsidR="003D5DF8" w:rsidRPr="005E22AC" w:rsidRDefault="00717372" w:rsidP="005E22AC">
      <w:pPr>
        <w:pStyle w:val="Heading1"/>
      </w:pPr>
      <w:bookmarkStart w:id="2" w:name="_Toc230421137"/>
      <w:r w:rsidRPr="005E22AC">
        <w:lastRenderedPageBreak/>
        <w:t>CHAPTER ONE</w:t>
      </w:r>
      <w:bookmarkEnd w:id="2"/>
    </w:p>
    <w:p w:rsidR="003D5DF8" w:rsidRPr="005E22AC" w:rsidRDefault="00717372" w:rsidP="005E22AC">
      <w:pPr>
        <w:pStyle w:val="Heading1"/>
      </w:pPr>
      <w:bookmarkStart w:id="3" w:name="_Toc230421138"/>
      <w:r w:rsidRPr="005E22AC">
        <w:t>INTRODUCTION</w:t>
      </w:r>
      <w:bookmarkEnd w:id="3"/>
    </w:p>
    <w:p w:rsidR="003D5DF8" w:rsidRPr="000A63C7" w:rsidRDefault="00717372" w:rsidP="005E22AC">
      <w:pPr>
        <w:pStyle w:val="Heading2"/>
      </w:pPr>
      <w:bookmarkStart w:id="4" w:name="_Toc230421139"/>
      <w:r w:rsidRPr="000A63C7">
        <w:t xml:space="preserve">1.0 </w:t>
      </w:r>
      <w:r w:rsidRPr="005E22AC">
        <w:t>Introduction</w:t>
      </w:r>
      <w:bookmarkEnd w:id="4"/>
    </w:p>
    <w:p w:rsidR="003D5DF8" w:rsidRPr="000A63C7" w:rsidRDefault="00717372" w:rsidP="00447501">
      <w:pPr>
        <w:spacing w:after="160"/>
      </w:pPr>
      <w:r w:rsidRPr="000A63C7">
        <w:t>This chapter covers the background information of the study problem and describes the problem that the study seeks to address through set specific objectives. The chapter also presents the research hypotheses that are outlined together with the significance of the study and the scope and delimitation of the study. In addition, this chapter presents the delimitation of the study and limitations together with study assumptions.</w:t>
      </w:r>
    </w:p>
    <w:p w:rsidR="003D5DF8" w:rsidRPr="000A63C7" w:rsidRDefault="00717372" w:rsidP="00447501">
      <w:pPr>
        <w:pStyle w:val="Heading2"/>
      </w:pPr>
      <w:bookmarkStart w:id="5" w:name="_Toc230421140"/>
      <w:r w:rsidRPr="000A63C7">
        <w:t>1.1 Background of the Study</w:t>
      </w:r>
      <w:bookmarkEnd w:id="5"/>
    </w:p>
    <w:p w:rsidR="00477740" w:rsidRDefault="00477740" w:rsidP="00447501">
      <w:pPr>
        <w:spacing w:after="160"/>
      </w:pPr>
      <w:r w:rsidRPr="00477740">
        <w:t xml:space="preserve">Organizational sustainability in the non-governmental sector is increasingly recognized as a governance challenge rather than a funding challenge. While donor financing remains the primary operational lifeline for most NGOs, organizations with structured risk management frameworks are significantly more likely to sustain </w:t>
      </w:r>
      <w:proofErr w:type="spellStart"/>
      <w:r w:rsidRPr="00477740">
        <w:t>programme</w:t>
      </w:r>
      <w:proofErr w:type="spellEnd"/>
      <w:r w:rsidRPr="00477740">
        <w:t xml:space="preserve"> delivery, maintain donor confidence, and withstand operational disruptions over time. Approximately 70% of projects globally fail to meet their original objectives, with inadequate risk management consistently identified as the leading contributing factor to organizational fragility and premature project collapse (Project Management Institute, 2023). Risk identification, assessment, control, and monitoring, when embedded systematically into governance structures, function as the primary organizational mechanisms through which NGOs protect their operational continuity, financial viability, and institutional legitimacy (</w:t>
      </w:r>
      <w:proofErr w:type="spellStart"/>
      <w:r w:rsidRPr="00477740">
        <w:t>Hillson</w:t>
      </w:r>
      <w:proofErr w:type="spellEnd"/>
      <w:r w:rsidRPr="00477740">
        <w:t xml:space="preserve"> &amp; Murray-Webster, 2023). The ISO 31000:2018 standard, adopted in over 160 countries, reflects the universal recognition that systematic risk governance is not merely a compliance obligation but a strategic prerequisite for long-term organizational sustainability (ISO, 2023).</w:t>
      </w:r>
    </w:p>
    <w:p w:rsidR="00477740" w:rsidRDefault="00477740" w:rsidP="00447501">
      <w:pPr>
        <w:spacing w:after="160"/>
      </w:pPr>
      <w:r w:rsidRPr="00477740">
        <w:t xml:space="preserve">The global NGO sector operates within an environment of compounding risks that directly threaten organizational sustainability. Geopolitical instability, climate change, economic volatility, and tightening regulatory frameworks have collectively intensified the operational challenges facing development organizations worldwide, making risk governance an essential rather than optional institutional function (World Economic Forum, 2024). The sector manages approximately USD 2.8 trillion in development aid annually, yet over 60% of international NGOs lack formalized risk </w:t>
      </w:r>
      <w:r w:rsidRPr="00477740">
        <w:lastRenderedPageBreak/>
        <w:t xml:space="preserve">management frameworks, resulting in significant resource misallocation, project abandonment, and institutional collapse (World Bank, 2023). Large international NGOs such as Catholic Relief Services and CARE International have responded by institutionalizing enterprise risk management frameworks that integrate risk identification, assessment, control, and monitoring into project cycle management, demonstrating measurable gains in </w:t>
      </w:r>
      <w:proofErr w:type="spellStart"/>
      <w:r w:rsidRPr="00477740">
        <w:t>programme</w:t>
      </w:r>
      <w:proofErr w:type="spellEnd"/>
      <w:r w:rsidRPr="00477740">
        <w:t xml:space="preserve"> continuity and donor retention (McNeil, Frey &amp; </w:t>
      </w:r>
      <w:proofErr w:type="spellStart"/>
      <w:r w:rsidRPr="00477740">
        <w:t>Embrechts</w:t>
      </w:r>
      <w:proofErr w:type="spellEnd"/>
      <w:r w:rsidRPr="00477740">
        <w:t>, 2023). The adoption of ISO 31000:2018 by development organizations across North America and Europe further underscores the growing consensus that structured risk governance is the most reliable pathway to sustained NGO viability and long-term programmatic impact (KPMG, 2023).</w:t>
      </w:r>
    </w:p>
    <w:p w:rsidR="00477740" w:rsidRDefault="00760CF4" w:rsidP="00447501">
      <w:pPr>
        <w:spacing w:after="160"/>
      </w:pPr>
      <w:r w:rsidRPr="00760CF4">
        <w:t>The African NGO sector presents a distinct risk environment shaped by political instability, climate shocks, currency volatility, and governance deficits that disproportionately threaten organizational sustainability. With over 650,000 registered NGOs operating across the continent, the sector plays a critical role in delivering health, education, livelihood, and humanitarian services to vulnerable populations, yet institutional fragility remains a persistent challenge (African Development Bank, 2023). A study conducted in Ghana established that NGOs lacking structured risk assessment frameworks experienced project cost overruns averaging 38% above budgeted estimates, directly undermining financial sustainability and donor confidence (</w:t>
      </w:r>
      <w:proofErr w:type="spellStart"/>
      <w:r w:rsidRPr="00760CF4">
        <w:t>Osei-Bonsu</w:t>
      </w:r>
      <w:proofErr w:type="spellEnd"/>
      <w:r w:rsidRPr="00760CF4">
        <w:t xml:space="preserve"> &amp; Asante, 2023). In Nigeria, organizations that conducted systematic risk identification at project inception demonstrated significantly higher beneficiary satisfaction scores and stronger prospects for </w:t>
      </w:r>
      <w:proofErr w:type="spellStart"/>
      <w:r w:rsidRPr="00760CF4">
        <w:t>programme</w:t>
      </w:r>
      <w:proofErr w:type="spellEnd"/>
      <w:r w:rsidRPr="00760CF4">
        <w:t xml:space="preserve"> continuity beyond initial grant periods (</w:t>
      </w:r>
      <w:proofErr w:type="spellStart"/>
      <w:r w:rsidRPr="00760CF4">
        <w:t>Adeyemi</w:t>
      </w:r>
      <w:proofErr w:type="spellEnd"/>
      <w:r w:rsidRPr="00760CF4">
        <w:t xml:space="preserve"> &amp; </w:t>
      </w:r>
      <w:proofErr w:type="spellStart"/>
      <w:r w:rsidRPr="00760CF4">
        <w:t>Ogunlana</w:t>
      </w:r>
      <w:proofErr w:type="spellEnd"/>
      <w:r w:rsidRPr="00760CF4">
        <w:t xml:space="preserve">, 2023). A regional study across Kenya, Uganda, and Tanzania revealed that poor risk control mechanisms were the primary driver of NGO project abandonment, accounting for 41% of incomplete projects reviewed between 2019 and 2022, with cascading consequences for institutional credibility and long-term sustainability (Mwangi, Kariuki &amp; </w:t>
      </w:r>
      <w:proofErr w:type="spellStart"/>
      <w:r w:rsidRPr="00760CF4">
        <w:t>Gitau</w:t>
      </w:r>
      <w:proofErr w:type="spellEnd"/>
      <w:r w:rsidRPr="00760CF4">
        <w:t>, 2022).</w:t>
      </w:r>
    </w:p>
    <w:p w:rsidR="00760CF4" w:rsidRDefault="00760CF4" w:rsidP="00447501">
      <w:pPr>
        <w:spacing w:after="160"/>
      </w:pPr>
      <w:r w:rsidRPr="00760CF4">
        <w:t xml:space="preserve">In Kenya, the NGO sector contributes an estimated 3.5% to the country's Gross Domestic Product and employs over 200,000 people directly, yet organizational sustainability remains a critical concern across the sector (NGO Coordination Board, 2023). Kenya hosts more than 10,000 registered NGOs operating across health, education, environmental conservation, livelihoods, and governance sectors, many of which face persistent threats to their operational continuity arising from donor dependency, regulatory non-compliance, and weak internal governance systems. The </w:t>
      </w:r>
      <w:r w:rsidRPr="00760CF4">
        <w:lastRenderedPageBreak/>
        <w:t xml:space="preserve">NGO Board of Kenya (2024) reported that approximately 68% of project audit queries raised against Kenyan NGOs between 2021 and 2024 were attributable to inadequate risk management practices, including weak financial controls, poor beneficiary monitoring systems, and insufficient risk documentation, all of which directly compromise long-term sustainability. NGO projects lacking structured risk identification mechanisms experienced average cost overruns of 42% and timeline extensions of 67%, outcomes that erode donor trust and threaten </w:t>
      </w:r>
      <w:proofErr w:type="spellStart"/>
      <w:r w:rsidRPr="00760CF4">
        <w:t>programme</w:t>
      </w:r>
      <w:proofErr w:type="spellEnd"/>
      <w:r w:rsidRPr="00760CF4">
        <w:t xml:space="preserve"> continuity (</w:t>
      </w:r>
      <w:proofErr w:type="spellStart"/>
      <w:r w:rsidRPr="00760CF4">
        <w:t>Mwenda</w:t>
      </w:r>
      <w:proofErr w:type="spellEnd"/>
      <w:r w:rsidRPr="00760CF4">
        <w:t xml:space="preserve"> &amp; </w:t>
      </w:r>
      <w:proofErr w:type="spellStart"/>
      <w:r w:rsidRPr="00760CF4">
        <w:t>Njeru</w:t>
      </w:r>
      <w:proofErr w:type="spellEnd"/>
      <w:r w:rsidRPr="00760CF4">
        <w:t xml:space="preserve">, 2025). The Kenya Voluntary and Community Sector Report (2024) estimated that approximately </w:t>
      </w:r>
      <w:proofErr w:type="spellStart"/>
      <w:r w:rsidRPr="00760CF4">
        <w:t>KSh</w:t>
      </w:r>
      <w:proofErr w:type="spellEnd"/>
      <w:r w:rsidRPr="00760CF4">
        <w:t xml:space="preserve"> 4.2 billion in donor funding is lost annually due to project failures linked to poor risk practices, underscoring the urgent need to examine how risk management practices influence the sustainability of NGOs in Kenya.</w:t>
      </w:r>
    </w:p>
    <w:p w:rsidR="00760CF4" w:rsidRDefault="00760CF4" w:rsidP="00E35A35">
      <w:pPr>
        <w:pStyle w:val="Heading3"/>
      </w:pPr>
      <w:bookmarkStart w:id="6" w:name="_Toc230421141"/>
      <w:r>
        <w:t xml:space="preserve">1.1.1 </w:t>
      </w:r>
      <w:r w:rsidRPr="00E35A35">
        <w:t>Risk</w:t>
      </w:r>
      <w:r w:rsidRPr="00760CF4">
        <w:t xml:space="preserve"> Management Practices</w:t>
      </w:r>
      <w:bookmarkEnd w:id="6"/>
      <w:r w:rsidRPr="00760CF4">
        <w:t xml:space="preserve"> </w:t>
      </w:r>
    </w:p>
    <w:p w:rsidR="00760CF4" w:rsidRDefault="00760CF4" w:rsidP="00760CF4">
      <w:r>
        <w:t>Risk identification is the foundational dimension of any structured risk management framework, encompassing the systematic process of recognizing and documenting potential threats and opportunities that could affect the achievement of organizational objectives across the project lifecycle (</w:t>
      </w:r>
      <w:proofErr w:type="spellStart"/>
      <w:r>
        <w:t>Hillson</w:t>
      </w:r>
      <w:proofErr w:type="spellEnd"/>
      <w:r>
        <w:t xml:space="preserve"> &amp; Murray-Webster, 2023). In development organizations, this practice is operationalized through risk brainstorming sessions, stakeholder consultations, environmental scanning, historical data reviews, and maintenance of updated risk registers (PMI, 2023). The capacity of an organization to anticipate threats before they materialize determines how well it can protect its operational continuity and sustain donor confidence over time (Chapman &amp; Ward, 2022). The regularity of risk identification, comprehensiveness of the risk register, extent of stakeholder involvement, and degree of formal documentation across organizational levels collectively reflect the maturity of an organization's risk identification function (Hopkin, 2023; Kendrick, 2023).</w:t>
      </w:r>
    </w:p>
    <w:p w:rsidR="00760CF4" w:rsidRDefault="00760CF4" w:rsidP="00760CF4">
      <w:r>
        <w:t>Risk assessment is the analytical process through which identified risks are evaluated in terms of their probability of occurrence and potential impact on organizational objectives, enabling decision makers to prioritize risk responses and allocate resources efficiently (Chapman &amp; Ward, 2022). In the NGO context, this practice is operationalized through qualitative approaches such as likelihood and impact matrices, as well as quantitative methods including probability analysis and financial impact modelling (</w:t>
      </w:r>
      <w:proofErr w:type="spellStart"/>
      <w:r w:rsidR="00F8066A">
        <w:t>Muli</w:t>
      </w:r>
      <w:proofErr w:type="spellEnd"/>
      <w:r w:rsidR="00F8066A">
        <w:t xml:space="preserve"> &amp; </w:t>
      </w:r>
      <w:proofErr w:type="spellStart"/>
      <w:r w:rsidR="00F8066A">
        <w:t>Musau</w:t>
      </w:r>
      <w:proofErr w:type="spellEnd"/>
      <w:r w:rsidR="00F8066A">
        <w:t>, 2022)</w:t>
      </w:r>
      <w:r>
        <w:t xml:space="preserve">. The thoroughness of risk evaluation, reliability of assessment tools employed, frequency of reassessment as project conditions evolve, and the extent </w:t>
      </w:r>
      <w:r>
        <w:lastRenderedPageBreak/>
        <w:t xml:space="preserve">to which assessment outcomes inform organizational decision making collectively determine the effectiveness of this dimension (PMI, 2023; Kendrick, 2023). Organizations conducting rigorous and systematic risk assessments are better positioned to anticipate resource gaps, prevent cost overruns, and sustain </w:t>
      </w:r>
      <w:proofErr w:type="spellStart"/>
      <w:r>
        <w:t>programme</w:t>
      </w:r>
      <w:proofErr w:type="spellEnd"/>
      <w:r>
        <w:t xml:space="preserve"> delivery in the face of emerging threats (</w:t>
      </w:r>
      <w:proofErr w:type="spellStart"/>
      <w:r>
        <w:t>Hillson</w:t>
      </w:r>
      <w:proofErr w:type="spellEnd"/>
      <w:r>
        <w:t xml:space="preserve"> &amp; Murray-Webster, 2023).</w:t>
      </w:r>
    </w:p>
    <w:p w:rsidR="00760CF4" w:rsidRDefault="00760CF4" w:rsidP="00760CF4">
      <w:r>
        <w:t xml:space="preserve">Risk control encompasses the measures, policies, and mechanisms through which organizations respond to assessed risks by reducing their likelihood, limiting their impact, or transferring their consequences to other parties (Hopkin, 2023). In development organizations, this practice is operationalized through risk response plans, internal financial controls, insurance instruments, contingency reserves, and risk avoidance strategies where exposure exceeds acceptable thresholds (PMI, 2023). The comprehensiveness of risk response plans, effectiveness of internal controls, adequacy of contingency provisions, and speed of control activation in response to emerging risks collectively reflect the strength of this function (Chapman &amp; Ward, 2022; Kendrick, 2023). Organizations maintaining robust risk control mechanisms are significantly more capable of absorbing operational shocks without compromising </w:t>
      </w:r>
      <w:proofErr w:type="spellStart"/>
      <w:r>
        <w:t>programme</w:t>
      </w:r>
      <w:proofErr w:type="spellEnd"/>
      <w:r>
        <w:t xml:space="preserve"> continuity or triggering donor withdrawal (</w:t>
      </w:r>
      <w:proofErr w:type="spellStart"/>
      <w:r>
        <w:t>Hillson</w:t>
      </w:r>
      <w:proofErr w:type="spellEnd"/>
      <w:r>
        <w:t xml:space="preserve"> &amp; Murray-Webster, 2023).</w:t>
      </w:r>
    </w:p>
    <w:p w:rsidR="00760CF4" w:rsidRPr="00760CF4" w:rsidRDefault="00760CF4" w:rsidP="00760CF4">
      <w:r>
        <w:t>Risk monitoring is the continuous process of tracking identified risks, reviewing the effectiveness of implemented risk responses, identifying emerging threats, and updating risk documentation throughout the organizational and project lifecycle (Kendrick, 2023). In the NGO context, this practice is operationalized through regular risk review meetings, risk indicator tracking systems, audit processes, and structured risk reporting to boards and governance structures (Hopkin, 2023). The frequency of risk review cycles, comprehensiveness of indicators tracked, extent to which audit findings are acted upon, and quality of risk reporting to senior governance structures collectively determine the effectiveness of this function (PMI, 2023; Chapman &amp; Ward, 2022). Organizations maintaining active and systematic risk monitoring processes are better positioned to detect early warning signals and prevent the escalation of manageable risks into organizational crises (</w:t>
      </w:r>
      <w:proofErr w:type="spellStart"/>
      <w:r>
        <w:t>Hillson</w:t>
      </w:r>
      <w:proofErr w:type="spellEnd"/>
      <w:r>
        <w:t xml:space="preserve"> &amp; Murray-Webster, 2023).</w:t>
      </w:r>
    </w:p>
    <w:p w:rsidR="00760CF4" w:rsidRDefault="00760CF4" w:rsidP="00E35A35">
      <w:pPr>
        <w:pStyle w:val="Heading3"/>
      </w:pPr>
      <w:bookmarkStart w:id="7" w:name="_Toc230421142"/>
      <w:r>
        <w:t xml:space="preserve">1.1.2 </w:t>
      </w:r>
      <w:r w:rsidRPr="00760CF4">
        <w:t>Sustainability</w:t>
      </w:r>
      <w:bookmarkEnd w:id="7"/>
      <w:r w:rsidRPr="00760CF4">
        <w:t xml:space="preserve"> </w:t>
      </w:r>
    </w:p>
    <w:p w:rsidR="00760CF4" w:rsidRPr="00760CF4" w:rsidRDefault="00760CF4" w:rsidP="00760CF4">
      <w:r w:rsidRPr="00760CF4">
        <w:t xml:space="preserve">Sustainability in the non-governmental organization context extends beyond financial viability to encompass the capacity of an organization to maintain </w:t>
      </w:r>
      <w:proofErr w:type="spellStart"/>
      <w:r w:rsidRPr="00760CF4">
        <w:t>programme</w:t>
      </w:r>
      <w:proofErr w:type="spellEnd"/>
      <w:r w:rsidRPr="00760CF4">
        <w:t xml:space="preserve"> delivery, institutional </w:t>
      </w:r>
      <w:r w:rsidRPr="00760CF4">
        <w:lastRenderedPageBreak/>
        <w:t>legitimacy, and stakeholder confidence over an extended period without over-reliance on a single funding source (</w:t>
      </w:r>
      <w:proofErr w:type="spellStart"/>
      <w:r w:rsidRPr="00760CF4">
        <w:t>Wanjiku</w:t>
      </w:r>
      <w:proofErr w:type="spellEnd"/>
      <w:r w:rsidRPr="00760CF4">
        <w:t xml:space="preserve"> &amp; </w:t>
      </w:r>
      <w:proofErr w:type="spellStart"/>
      <w:r w:rsidRPr="00760CF4">
        <w:t>Njeru</w:t>
      </w:r>
      <w:proofErr w:type="spellEnd"/>
      <w:r w:rsidRPr="00760CF4">
        <w:t xml:space="preserve">, 2023). Scholars conceptualize NGO sustainability along three interrelated dimensions, namely financial sustainability, which refers to the ability to secure and diversify income streams; </w:t>
      </w:r>
      <w:proofErr w:type="spellStart"/>
      <w:r w:rsidRPr="00760CF4">
        <w:t>programme</w:t>
      </w:r>
      <w:proofErr w:type="spellEnd"/>
      <w:r w:rsidRPr="00760CF4">
        <w:t xml:space="preserve"> sustainability, which concerns the continuation of service delivery beyond individual project cycles; and institutional sustainability, which relates to governance capacity, human resource retention, and organizational credibility (</w:t>
      </w:r>
      <w:proofErr w:type="spellStart"/>
      <w:r w:rsidRPr="00760CF4">
        <w:t>Njeru</w:t>
      </w:r>
      <w:proofErr w:type="spellEnd"/>
      <w:r w:rsidRPr="00760CF4">
        <w:t xml:space="preserve"> &amp; </w:t>
      </w:r>
      <w:proofErr w:type="spellStart"/>
      <w:r w:rsidRPr="00760CF4">
        <w:t>Wanjiku</w:t>
      </w:r>
      <w:proofErr w:type="spellEnd"/>
      <w:r w:rsidRPr="00760CF4">
        <w:t xml:space="preserve">, 2023). An organization is considered sustainable when it demonstrates the capacity to absorb operational shocks, adapt to environmental changes, and continue delivering value to its target beneficiaries without interruption (Kariuki &amp; </w:t>
      </w:r>
      <w:proofErr w:type="spellStart"/>
      <w:r w:rsidRPr="00760CF4">
        <w:t>Wambua</w:t>
      </w:r>
      <w:proofErr w:type="spellEnd"/>
      <w:r w:rsidRPr="00760CF4">
        <w:t>, 2024).</w:t>
      </w:r>
    </w:p>
    <w:p w:rsidR="00760CF4" w:rsidRDefault="00760CF4" w:rsidP="00760CF4">
      <w:r w:rsidRPr="00760CF4">
        <w:t xml:space="preserve">The measurement of NGO sustainability is operationalized through indicators that capture the financial, programmatic, and institutional dimensions of organizational health. Financial sustainability is assessed through income diversification ratios, donor retention rates, reserve fund adequacy, and the proportion of unrestricted funding relative to total income (Kenya Association of NGOs, 2023). </w:t>
      </w:r>
      <w:proofErr w:type="spellStart"/>
      <w:r w:rsidRPr="00760CF4">
        <w:t>Programme</w:t>
      </w:r>
      <w:proofErr w:type="spellEnd"/>
      <w:r w:rsidRPr="00760CF4">
        <w:t xml:space="preserve"> sustainability is measured through the continuation rate of project activities beyond grant periods, beneficiary reach over time, and the extent to which community structures absorb and sustain project outcomes independently (Mwangi, Kariuki &amp; </w:t>
      </w:r>
      <w:proofErr w:type="spellStart"/>
      <w:r w:rsidRPr="00760CF4">
        <w:t>Gitau</w:t>
      </w:r>
      <w:proofErr w:type="spellEnd"/>
      <w:r w:rsidRPr="00760CF4">
        <w:t>, 2022). Institutional sustainability is reflected in governance structure strength, staff turnover rates, regulatory compliance levels, and organizational reputation among key stakeholders (NGO Coordination Board, 2023). Collectively, these indicators provide a multidimensional lens through which the sustainability of NGOs in Kenya is assessed in this study.</w:t>
      </w:r>
    </w:p>
    <w:p w:rsidR="00760CF4" w:rsidRPr="00E35A35" w:rsidRDefault="00760CF4" w:rsidP="00E35A35">
      <w:pPr>
        <w:pStyle w:val="Heading3"/>
      </w:pPr>
      <w:bookmarkStart w:id="8" w:name="_Toc230421143"/>
      <w:r w:rsidRPr="00E35A35">
        <w:rPr>
          <w:rStyle w:val="Strong"/>
          <w:b/>
        </w:rPr>
        <w:t>1.1.3 Non-Governmental Organizations in Kenya</w:t>
      </w:r>
      <w:bookmarkEnd w:id="8"/>
    </w:p>
    <w:p w:rsidR="00760CF4" w:rsidRDefault="00760CF4" w:rsidP="00E35A35">
      <w:r>
        <w:t xml:space="preserve">Non-governmental organizations in Kenya are legally registered, non-profit, non-governmental entities governed under the Non-Governmental Organizations Coordination Act and accountable to the NGO Coordination Board of Kenya (Republic of Kenya, 2023). The sector is diverse, comprising over 10,000 registered organizations operating across health, education, environmental conservation, livelihoods, humanitarian response, and governance sectors, collectively contributing an estimated 3.5% to the country's Gross Domestic Product and employing over 200,000 people directly (NGO Coordination Board, 2023). These organizations vary considerably in size, funding base, geographical reach, and operational mandate, ranging from small community-based entities with annual budgets below </w:t>
      </w:r>
      <w:proofErr w:type="spellStart"/>
      <w:r>
        <w:t>KSh</w:t>
      </w:r>
      <w:proofErr w:type="spellEnd"/>
      <w:r>
        <w:t xml:space="preserve"> 1 million to large international NGOs </w:t>
      </w:r>
      <w:r>
        <w:lastRenderedPageBreak/>
        <w:t xml:space="preserve">managing portfolios exceeding </w:t>
      </w:r>
      <w:proofErr w:type="spellStart"/>
      <w:r>
        <w:t>KSh</w:t>
      </w:r>
      <w:proofErr w:type="spellEnd"/>
      <w:r>
        <w:t xml:space="preserve"> 500 million annually. Despite this diversity, Kenyan NGOs share common sustainability challenges rooted in donor dependency, weak governance structures, regulatory compliance burdens, and inadequate risk management systems that collectively undermine their capacity to deliver sustained programmatic impact (</w:t>
      </w:r>
      <w:proofErr w:type="spellStart"/>
      <w:r>
        <w:t>Korir</w:t>
      </w:r>
      <w:proofErr w:type="spellEnd"/>
      <w:r>
        <w:t xml:space="preserve"> &amp; </w:t>
      </w:r>
      <w:proofErr w:type="spellStart"/>
      <w:r>
        <w:t>Ombui</w:t>
      </w:r>
      <w:proofErr w:type="spellEnd"/>
      <w:r>
        <w:t xml:space="preserve">, 2022; Kariuki &amp; </w:t>
      </w:r>
      <w:proofErr w:type="spellStart"/>
      <w:r>
        <w:t>Wambua</w:t>
      </w:r>
      <w:proofErr w:type="spellEnd"/>
      <w:r>
        <w:t>, 2024).</w:t>
      </w:r>
    </w:p>
    <w:p w:rsidR="003D5DF8" w:rsidRPr="000A63C7" w:rsidRDefault="00717372" w:rsidP="00E35A35">
      <w:pPr>
        <w:pStyle w:val="Heading2"/>
      </w:pPr>
      <w:bookmarkStart w:id="9" w:name="_Toc230421144"/>
      <w:r w:rsidRPr="000A63C7">
        <w:t xml:space="preserve">1.2 </w:t>
      </w:r>
      <w:r w:rsidRPr="00E35A35">
        <w:t>Statement</w:t>
      </w:r>
      <w:r w:rsidRPr="000A63C7">
        <w:t xml:space="preserve"> of the Problem</w:t>
      </w:r>
      <w:bookmarkEnd w:id="9"/>
    </w:p>
    <w:p w:rsidR="00760CF4" w:rsidRDefault="00760CF4" w:rsidP="00760CF4">
      <w:pPr>
        <w:spacing w:after="160"/>
      </w:pPr>
      <w:r>
        <w:t xml:space="preserve">Non-Governmental Organizations in Kenya continue to record persistently poor sustainability outcomes despite the availability of donor funding, regulatory frameworks, and international technical support. The NGO Board of Kenya (2024) reported that out of 4,237 NGOs that submitted compliance reports in 2023, only 29% demonstrated satisfactory sustainability against their planned objectives, while 17% reported significant project failures or early termination. Approximately 68% of project audit queries raised against Kenyan NGOs between 2021 and 2024 were attributable to inadequate risk management practices, including weak financial controls, poor beneficiary monitoring systems, and insufficient risk documentation, all of which directly undermine long-term organizational sustainability (Kariuki &amp; </w:t>
      </w:r>
      <w:proofErr w:type="spellStart"/>
      <w:r>
        <w:t>Wambua</w:t>
      </w:r>
      <w:proofErr w:type="spellEnd"/>
      <w:r>
        <w:t xml:space="preserve">, 2024). NGO projects lacking structured risk identification mechanisms experienced average cost overruns of 42% and timeline extensions of 67%, eroding donor confidence and threatening </w:t>
      </w:r>
      <w:proofErr w:type="spellStart"/>
      <w:r>
        <w:t>programme</w:t>
      </w:r>
      <w:proofErr w:type="spellEnd"/>
      <w:r>
        <w:t xml:space="preserve"> continuity (</w:t>
      </w:r>
      <w:proofErr w:type="spellStart"/>
      <w:r>
        <w:t>Mwenda</w:t>
      </w:r>
      <w:proofErr w:type="spellEnd"/>
      <w:r>
        <w:t xml:space="preserve"> &amp; </w:t>
      </w:r>
      <w:proofErr w:type="spellStart"/>
      <w:r>
        <w:t>Njeru</w:t>
      </w:r>
      <w:proofErr w:type="spellEnd"/>
      <w:r>
        <w:t xml:space="preserve">, 2025). The Kenya Voluntary and Community Sector Report (2024) estimated that approximately </w:t>
      </w:r>
      <w:proofErr w:type="spellStart"/>
      <w:r>
        <w:t>KSh</w:t>
      </w:r>
      <w:proofErr w:type="spellEnd"/>
      <w:r>
        <w:t xml:space="preserve"> 4.2 billion in donor funding is lost annually due to project failures linked to poor risk practices, with cascading consequences for the financial, programmatic, and institutional sustainability of affected organizations, while communities served by these NGOs are denied critical services in health, education, and livelihoods. These outcomes point to a systemic failure in how NGOs identify, assess, control, and monitor risks across their project cycles.</w:t>
      </w:r>
    </w:p>
    <w:p w:rsidR="003D5DF8" w:rsidRPr="000A63C7" w:rsidRDefault="00760CF4" w:rsidP="00760CF4">
      <w:pPr>
        <w:spacing w:after="160"/>
      </w:pPr>
      <w:r>
        <w:t xml:space="preserve">Empirically, existing studies leave significant gaps that the current study seeks to address. A </w:t>
      </w:r>
      <w:r w:rsidRPr="005849D5">
        <w:rPr>
          <w:b/>
        </w:rPr>
        <w:t>contextual gap</w:t>
      </w:r>
      <w:r>
        <w:t xml:space="preserve"> exists in that most risk management research conducted in Kenya focuses on the private sector, particularly commercial banking and manufacturing, with very limited attention given to the NGO sector as a distinct organizational context governed by donor accountability frameworks and non-profit mandates (</w:t>
      </w:r>
      <w:proofErr w:type="spellStart"/>
      <w:r>
        <w:t>Korir</w:t>
      </w:r>
      <w:proofErr w:type="spellEnd"/>
      <w:r>
        <w:t xml:space="preserve"> &amp; </w:t>
      </w:r>
      <w:proofErr w:type="spellStart"/>
      <w:r>
        <w:t>Ombui</w:t>
      </w:r>
      <w:proofErr w:type="spellEnd"/>
      <w:r>
        <w:t xml:space="preserve">, 2022; </w:t>
      </w:r>
      <w:proofErr w:type="spellStart"/>
      <w:r>
        <w:t>Njeru</w:t>
      </w:r>
      <w:proofErr w:type="spellEnd"/>
      <w:r>
        <w:t xml:space="preserve"> &amp; </w:t>
      </w:r>
      <w:proofErr w:type="spellStart"/>
      <w:r>
        <w:t>Wanjiku</w:t>
      </w:r>
      <w:proofErr w:type="spellEnd"/>
      <w:r>
        <w:t xml:space="preserve">, 2023). A </w:t>
      </w:r>
      <w:r w:rsidRPr="005849D5">
        <w:rPr>
          <w:b/>
        </w:rPr>
        <w:t>conceptual gap</w:t>
      </w:r>
      <w:r>
        <w:t xml:space="preserve"> is evident in the failure of existing studies to examine risk identification, risk assessment, risk control, and risk monitoring as discrete independent constructs influencing NGO </w:t>
      </w:r>
      <w:r>
        <w:lastRenderedPageBreak/>
        <w:t xml:space="preserve">sustainability, as most studies treat risk management as a single undifferentiated variable, obscuring which specific practices drive sustainability outcomes (Mwangi, Kariuki &amp; </w:t>
      </w:r>
      <w:proofErr w:type="spellStart"/>
      <w:r>
        <w:t>Gitau</w:t>
      </w:r>
      <w:proofErr w:type="spellEnd"/>
      <w:r>
        <w:t xml:space="preserve">, 2022; </w:t>
      </w:r>
      <w:proofErr w:type="spellStart"/>
      <w:r>
        <w:t>Osei-Bonsu</w:t>
      </w:r>
      <w:proofErr w:type="spellEnd"/>
      <w:r>
        <w:t xml:space="preserve"> &amp; Asante, 2023). A </w:t>
      </w:r>
      <w:r w:rsidRPr="005849D5">
        <w:rPr>
          <w:b/>
        </w:rPr>
        <w:t>methodological gap</w:t>
      </w:r>
      <w:r>
        <w:t xml:space="preserve"> is also present, as the predominant use of qualitative case study designs in existing NGO governance research limits the generalizability of findings and precludes the statistical testing of relationships between specific risk management dimensions and sustainability indicators (</w:t>
      </w:r>
      <w:proofErr w:type="spellStart"/>
      <w:r>
        <w:t>Adeyemi</w:t>
      </w:r>
      <w:proofErr w:type="spellEnd"/>
      <w:r>
        <w:t xml:space="preserve"> &amp; </w:t>
      </w:r>
      <w:proofErr w:type="spellStart"/>
      <w:r>
        <w:t>Ogunlana</w:t>
      </w:r>
      <w:proofErr w:type="spellEnd"/>
      <w:r>
        <w:t xml:space="preserve">, 2023; </w:t>
      </w:r>
      <w:proofErr w:type="spellStart"/>
      <w:r>
        <w:t>Muchelule</w:t>
      </w:r>
      <w:proofErr w:type="spellEnd"/>
      <w:r>
        <w:t xml:space="preserve">, 2022). Therefore, this study seeks to address these gaps by examining the influence of risk management practices on the sustainability of Non-Governmental Organizations in </w:t>
      </w:r>
      <w:r w:rsidR="00E35A35">
        <w:t>Kenya.</w:t>
      </w:r>
    </w:p>
    <w:p w:rsidR="003D5DF8" w:rsidRPr="000A63C7" w:rsidRDefault="00717372" w:rsidP="00447501">
      <w:pPr>
        <w:pStyle w:val="Heading2"/>
      </w:pPr>
      <w:bookmarkStart w:id="10" w:name="_Toc230421145"/>
      <w:r w:rsidRPr="000A63C7">
        <w:t>1.3 Objectives of the Study</w:t>
      </w:r>
      <w:bookmarkEnd w:id="10"/>
    </w:p>
    <w:p w:rsidR="003D5DF8" w:rsidRPr="000A63C7" w:rsidRDefault="00717372" w:rsidP="00447501">
      <w:pPr>
        <w:spacing w:after="160"/>
      </w:pPr>
      <w:r w:rsidRPr="000A63C7">
        <w:t>This study will be guided by both general and specific objectives.</w:t>
      </w:r>
    </w:p>
    <w:p w:rsidR="003D5DF8" w:rsidRPr="000A63C7" w:rsidRDefault="00717372" w:rsidP="00E35A35">
      <w:pPr>
        <w:pStyle w:val="Heading3"/>
      </w:pPr>
      <w:bookmarkStart w:id="11" w:name="_Toc230421146"/>
      <w:r w:rsidRPr="000A63C7">
        <w:t>1.3.1 General Objective</w:t>
      </w:r>
      <w:bookmarkEnd w:id="11"/>
    </w:p>
    <w:p w:rsidR="003D5DF8" w:rsidRPr="000A63C7" w:rsidRDefault="00717372" w:rsidP="00447501">
      <w:pPr>
        <w:spacing w:after="160"/>
      </w:pPr>
      <w:r w:rsidRPr="000A63C7">
        <w:t xml:space="preserve">The general objective of this study is to examine the influence of risk management practices on the </w:t>
      </w:r>
      <w:r w:rsidR="00760CF4">
        <w:t>sustainability</w:t>
      </w:r>
      <w:r w:rsidRPr="000A63C7">
        <w:t xml:space="preserve"> of Non-Governmental Organizations in Kenya.</w:t>
      </w:r>
    </w:p>
    <w:p w:rsidR="003D5DF8" w:rsidRPr="000A63C7" w:rsidRDefault="00717372" w:rsidP="00E35A35">
      <w:pPr>
        <w:pStyle w:val="Heading3"/>
      </w:pPr>
      <w:bookmarkStart w:id="12" w:name="_Toc230421147"/>
      <w:r w:rsidRPr="000A63C7">
        <w:t>1.3.2 Specific Objectives</w:t>
      </w:r>
      <w:bookmarkEnd w:id="12"/>
    </w:p>
    <w:p w:rsidR="003D5DF8" w:rsidRPr="000A63C7" w:rsidRDefault="00717372" w:rsidP="00447501">
      <w:pPr>
        <w:spacing w:after="160"/>
      </w:pPr>
      <w:r w:rsidRPr="000A63C7">
        <w:t>This study will be guided by the following specific objectives:</w:t>
      </w:r>
    </w:p>
    <w:p w:rsidR="003D5DF8" w:rsidRPr="000A63C7" w:rsidRDefault="00717372" w:rsidP="00447501">
      <w:pPr>
        <w:pStyle w:val="ListParagraph"/>
        <w:numPr>
          <w:ilvl w:val="0"/>
          <w:numId w:val="2"/>
        </w:numPr>
        <w:spacing w:after="120" w:line="360" w:lineRule="auto"/>
        <w:jc w:val="both"/>
      </w:pPr>
      <w:r w:rsidRPr="000A63C7">
        <w:t xml:space="preserve">To determine the influence of </w:t>
      </w:r>
      <w:r w:rsidRPr="00A74911">
        <w:rPr>
          <w:b/>
        </w:rPr>
        <w:t>risk identification practices</w:t>
      </w:r>
      <w:r w:rsidRPr="000A63C7">
        <w:t xml:space="preserve"> on </w:t>
      </w:r>
      <w:r w:rsidR="00760CF4">
        <w:t>sustainability</w:t>
      </w:r>
      <w:r w:rsidR="00760CF4" w:rsidRPr="000A63C7">
        <w:t xml:space="preserve"> </w:t>
      </w:r>
      <w:r w:rsidRPr="000A63C7">
        <w:t>of NGOs in Kenya.</w:t>
      </w:r>
    </w:p>
    <w:p w:rsidR="003D5DF8" w:rsidRPr="000A63C7" w:rsidRDefault="00717372" w:rsidP="00447501">
      <w:pPr>
        <w:pStyle w:val="ListParagraph"/>
        <w:numPr>
          <w:ilvl w:val="0"/>
          <w:numId w:val="2"/>
        </w:numPr>
        <w:spacing w:after="120" w:line="360" w:lineRule="auto"/>
        <w:jc w:val="both"/>
      </w:pPr>
      <w:r w:rsidRPr="000A63C7">
        <w:t xml:space="preserve">To establish the influence of </w:t>
      </w:r>
      <w:r w:rsidRPr="00A74911">
        <w:rPr>
          <w:b/>
        </w:rPr>
        <w:t>risk assessment practices</w:t>
      </w:r>
      <w:r w:rsidRPr="000A63C7">
        <w:t xml:space="preserve"> on </w:t>
      </w:r>
      <w:r w:rsidR="00760CF4">
        <w:t>sustainability</w:t>
      </w:r>
      <w:r w:rsidR="00760CF4" w:rsidRPr="000A63C7">
        <w:t xml:space="preserve"> </w:t>
      </w:r>
      <w:r w:rsidRPr="000A63C7">
        <w:t>of NGOs in Kenya.</w:t>
      </w:r>
    </w:p>
    <w:p w:rsidR="003D5DF8" w:rsidRPr="000A63C7" w:rsidRDefault="00717372" w:rsidP="00447501">
      <w:pPr>
        <w:pStyle w:val="ListParagraph"/>
        <w:numPr>
          <w:ilvl w:val="0"/>
          <w:numId w:val="2"/>
        </w:numPr>
        <w:spacing w:after="120" w:line="360" w:lineRule="auto"/>
        <w:jc w:val="both"/>
      </w:pPr>
      <w:r w:rsidRPr="000A63C7">
        <w:t>To examine the influence</w:t>
      </w:r>
      <w:r w:rsidR="00760CF4">
        <w:t xml:space="preserve"> of </w:t>
      </w:r>
      <w:r w:rsidR="00760CF4" w:rsidRPr="00A74911">
        <w:rPr>
          <w:b/>
        </w:rPr>
        <w:t>risk control practices</w:t>
      </w:r>
      <w:r w:rsidR="00760CF4">
        <w:t xml:space="preserve"> on sustainability</w:t>
      </w:r>
      <w:r w:rsidR="00760CF4" w:rsidRPr="000A63C7">
        <w:t xml:space="preserve"> </w:t>
      </w:r>
      <w:r w:rsidRPr="000A63C7">
        <w:t>of NGOs in Kenya.</w:t>
      </w:r>
    </w:p>
    <w:p w:rsidR="003D5DF8" w:rsidRPr="000A63C7" w:rsidRDefault="00717372" w:rsidP="00447501">
      <w:pPr>
        <w:pStyle w:val="ListParagraph"/>
        <w:numPr>
          <w:ilvl w:val="0"/>
          <w:numId w:val="2"/>
        </w:numPr>
        <w:spacing w:after="120" w:line="360" w:lineRule="auto"/>
        <w:jc w:val="both"/>
      </w:pPr>
      <w:r w:rsidRPr="000A63C7">
        <w:t xml:space="preserve">To assess the influence of </w:t>
      </w:r>
      <w:r w:rsidRPr="00A74911">
        <w:rPr>
          <w:b/>
        </w:rPr>
        <w:t>risk monitoring practices</w:t>
      </w:r>
      <w:r w:rsidRPr="000A63C7">
        <w:t xml:space="preserve"> on </w:t>
      </w:r>
      <w:r w:rsidR="00760CF4">
        <w:t>sustainability</w:t>
      </w:r>
      <w:r w:rsidR="00760CF4" w:rsidRPr="000A63C7">
        <w:t xml:space="preserve"> </w:t>
      </w:r>
      <w:r w:rsidRPr="000A63C7">
        <w:t>of NGOs in Kenya.</w:t>
      </w:r>
    </w:p>
    <w:p w:rsidR="003D5DF8" w:rsidRPr="000A63C7" w:rsidRDefault="00717372" w:rsidP="00447501">
      <w:pPr>
        <w:pStyle w:val="Heading2"/>
      </w:pPr>
      <w:bookmarkStart w:id="13" w:name="_Toc230421148"/>
      <w:r w:rsidRPr="000A63C7">
        <w:t>1.4 Research Hypotheses</w:t>
      </w:r>
      <w:bookmarkEnd w:id="13"/>
    </w:p>
    <w:p w:rsidR="003D5DF8" w:rsidRPr="000A63C7" w:rsidRDefault="00717372" w:rsidP="00447501">
      <w:pPr>
        <w:spacing w:after="160"/>
      </w:pPr>
      <w:r w:rsidRPr="000A63C7">
        <w:t>This study will test the following null hypotheses:</w:t>
      </w:r>
    </w:p>
    <w:p w:rsidR="003D5DF8" w:rsidRPr="000A63C7" w:rsidRDefault="00717372" w:rsidP="00760CF4">
      <w:pPr>
        <w:spacing w:before="100" w:after="100"/>
        <w:ind w:left="720" w:hanging="720"/>
      </w:pPr>
      <w:r w:rsidRPr="000A63C7">
        <w:rPr>
          <w:b/>
          <w:bCs/>
        </w:rPr>
        <w:t>H01:</w:t>
      </w:r>
      <w:r w:rsidRPr="000A63C7">
        <w:rPr>
          <w:b/>
          <w:bCs/>
        </w:rPr>
        <w:tab/>
      </w:r>
      <w:r w:rsidRPr="00166EA8">
        <w:rPr>
          <w:b/>
        </w:rPr>
        <w:t>Risk identification practices</w:t>
      </w:r>
      <w:r w:rsidRPr="000A63C7">
        <w:t xml:space="preserve"> have no significant influence on </w:t>
      </w:r>
      <w:r w:rsidR="00760CF4" w:rsidRPr="00760CF4">
        <w:t xml:space="preserve">sustainability </w:t>
      </w:r>
      <w:r w:rsidRPr="000A63C7">
        <w:t>of NGOs in Kenya.</w:t>
      </w:r>
    </w:p>
    <w:p w:rsidR="003D5DF8" w:rsidRPr="000A63C7" w:rsidRDefault="00717372" w:rsidP="00760CF4">
      <w:pPr>
        <w:spacing w:before="100" w:after="100"/>
        <w:ind w:left="720" w:hanging="720"/>
      </w:pPr>
      <w:r w:rsidRPr="000A63C7">
        <w:rPr>
          <w:b/>
          <w:bCs/>
        </w:rPr>
        <w:t>H02:</w:t>
      </w:r>
      <w:r w:rsidRPr="000A63C7">
        <w:rPr>
          <w:b/>
          <w:bCs/>
        </w:rPr>
        <w:tab/>
      </w:r>
      <w:r w:rsidRPr="00166EA8">
        <w:rPr>
          <w:b/>
        </w:rPr>
        <w:t>Risk assessment practices</w:t>
      </w:r>
      <w:r w:rsidRPr="000A63C7">
        <w:t xml:space="preserve"> have no significant influence on </w:t>
      </w:r>
      <w:r w:rsidR="00760CF4" w:rsidRPr="00760CF4">
        <w:t xml:space="preserve">sustainability </w:t>
      </w:r>
      <w:r w:rsidRPr="000A63C7">
        <w:t>of NGOs in Kenya.</w:t>
      </w:r>
    </w:p>
    <w:p w:rsidR="003D5DF8" w:rsidRPr="000A63C7" w:rsidRDefault="00717372" w:rsidP="00760CF4">
      <w:pPr>
        <w:spacing w:before="100" w:after="100"/>
        <w:ind w:left="720" w:hanging="720"/>
      </w:pPr>
      <w:r w:rsidRPr="000A63C7">
        <w:rPr>
          <w:b/>
          <w:bCs/>
        </w:rPr>
        <w:lastRenderedPageBreak/>
        <w:t>H03:</w:t>
      </w:r>
      <w:r w:rsidRPr="000A63C7">
        <w:rPr>
          <w:b/>
          <w:bCs/>
        </w:rPr>
        <w:tab/>
      </w:r>
      <w:r w:rsidRPr="00166EA8">
        <w:rPr>
          <w:b/>
        </w:rPr>
        <w:t>Risk control practices</w:t>
      </w:r>
      <w:r w:rsidRPr="000A63C7">
        <w:t xml:space="preserve"> have no significant influence on </w:t>
      </w:r>
      <w:r w:rsidR="00760CF4" w:rsidRPr="00760CF4">
        <w:t xml:space="preserve">sustainability </w:t>
      </w:r>
      <w:r w:rsidRPr="000A63C7">
        <w:t>of NGOs in Kenya.</w:t>
      </w:r>
    </w:p>
    <w:p w:rsidR="003D5DF8" w:rsidRPr="000A63C7" w:rsidRDefault="00717372" w:rsidP="00760CF4">
      <w:pPr>
        <w:spacing w:before="100" w:after="100"/>
        <w:ind w:left="720" w:hanging="720"/>
      </w:pPr>
      <w:r w:rsidRPr="000A63C7">
        <w:rPr>
          <w:b/>
          <w:bCs/>
        </w:rPr>
        <w:t>H04:</w:t>
      </w:r>
      <w:r w:rsidRPr="000A63C7">
        <w:rPr>
          <w:b/>
          <w:bCs/>
        </w:rPr>
        <w:tab/>
      </w:r>
      <w:r w:rsidRPr="00166EA8">
        <w:rPr>
          <w:b/>
        </w:rPr>
        <w:t>Risk monitoring practices</w:t>
      </w:r>
      <w:r w:rsidRPr="000A63C7">
        <w:t xml:space="preserve"> have no significant influence on </w:t>
      </w:r>
      <w:r w:rsidR="00760CF4" w:rsidRPr="00760CF4">
        <w:t xml:space="preserve">sustainability </w:t>
      </w:r>
      <w:r w:rsidRPr="000A63C7">
        <w:t>of NGOs in Kenya.</w:t>
      </w:r>
    </w:p>
    <w:p w:rsidR="003D5DF8" w:rsidRPr="000A63C7" w:rsidRDefault="00760CF4" w:rsidP="00447501">
      <w:pPr>
        <w:pStyle w:val="Heading2"/>
      </w:pPr>
      <w:bookmarkStart w:id="14" w:name="_Toc230421149"/>
      <w:r>
        <w:t>1.5</w:t>
      </w:r>
      <w:r w:rsidR="00717372" w:rsidRPr="000A63C7">
        <w:t xml:space="preserve"> Significance of the Study</w:t>
      </w:r>
      <w:bookmarkEnd w:id="14"/>
    </w:p>
    <w:p w:rsidR="00760CF4" w:rsidRDefault="00760CF4" w:rsidP="00760CF4">
      <w:pPr>
        <w:spacing w:after="160"/>
      </w:pPr>
      <w:r>
        <w:t>This study is expected to be of significant value to multiple stakeholders in the NGO ecosystem in Kenya.</w:t>
      </w:r>
    </w:p>
    <w:p w:rsidR="00760CF4" w:rsidRPr="00760CF4" w:rsidRDefault="00760CF4" w:rsidP="00760CF4">
      <w:pPr>
        <w:spacing w:after="160"/>
        <w:rPr>
          <w:b/>
        </w:rPr>
      </w:pPr>
      <w:r w:rsidRPr="00760CF4">
        <w:rPr>
          <w:b/>
        </w:rPr>
        <w:t>NGO Managers and Boards</w:t>
      </w:r>
    </w:p>
    <w:p w:rsidR="00760CF4" w:rsidRDefault="00760CF4" w:rsidP="00760CF4">
      <w:pPr>
        <w:spacing w:after="160"/>
      </w:pPr>
      <w:r>
        <w:t xml:space="preserve">The findings will provide evidence-based guidance on how specific risk management practices influence organizational sustainability, enabling practitioners to design and implement risk governance frameworks tailored to the Kenyan NGO context. This will improve the likelihood of achieving </w:t>
      </w:r>
      <w:proofErr w:type="spellStart"/>
      <w:r>
        <w:t>programme</w:t>
      </w:r>
      <w:proofErr w:type="spellEnd"/>
      <w:r>
        <w:t xml:space="preserve"> objectives, maintaining donor confidence, and sustaining long-term organizational effectiveness.</w:t>
      </w:r>
    </w:p>
    <w:p w:rsidR="00760CF4" w:rsidRPr="00760CF4" w:rsidRDefault="00760CF4" w:rsidP="00760CF4">
      <w:pPr>
        <w:spacing w:after="160"/>
        <w:rPr>
          <w:b/>
        </w:rPr>
      </w:pPr>
      <w:r w:rsidRPr="00760CF4">
        <w:rPr>
          <w:b/>
        </w:rPr>
        <w:t>Policymakers and Regulatory Bodies</w:t>
      </w:r>
    </w:p>
    <w:p w:rsidR="00760CF4" w:rsidRDefault="00760CF4" w:rsidP="00760CF4">
      <w:pPr>
        <w:spacing w:after="160"/>
      </w:pPr>
      <w:r>
        <w:t xml:space="preserve">The study will provide an empirical basis for developing risk management standards specific to the Kenyan NGO sector, supporting the NGO Coordination Board and Public Benefits Organizations Authority in designing compliance frameworks and capacity building </w:t>
      </w:r>
      <w:proofErr w:type="spellStart"/>
      <w:r>
        <w:t>programmes</w:t>
      </w:r>
      <w:proofErr w:type="spellEnd"/>
      <w:r>
        <w:t xml:space="preserve"> that strengthen risk governance across registered organizations.</w:t>
      </w:r>
    </w:p>
    <w:p w:rsidR="00760CF4" w:rsidRPr="00760CF4" w:rsidRDefault="00760CF4" w:rsidP="00760CF4">
      <w:pPr>
        <w:spacing w:after="160"/>
        <w:rPr>
          <w:b/>
        </w:rPr>
      </w:pPr>
      <w:r w:rsidRPr="00760CF4">
        <w:rPr>
          <w:b/>
        </w:rPr>
        <w:t>Donors and Funding Agencies</w:t>
      </w:r>
    </w:p>
    <w:p w:rsidR="00760CF4" w:rsidRDefault="00760CF4" w:rsidP="00760CF4">
      <w:pPr>
        <w:spacing w:after="160"/>
      </w:pPr>
      <w:r>
        <w:t>The findings will provide insights into the risk management attributes most predictive of NGO sustainability, enabling bilateral donors, multilateral organizations, and private foundations to integrate risk management benchmarks into due diligence frameworks and grant assessment criteria more strategically.</w:t>
      </w:r>
    </w:p>
    <w:p w:rsidR="00760CF4" w:rsidRPr="00760CF4" w:rsidRDefault="00760CF4" w:rsidP="00760CF4">
      <w:pPr>
        <w:spacing w:after="160"/>
        <w:rPr>
          <w:b/>
        </w:rPr>
      </w:pPr>
      <w:r w:rsidRPr="00760CF4">
        <w:rPr>
          <w:b/>
        </w:rPr>
        <w:t>Academic Community and Future Researchers</w:t>
      </w:r>
    </w:p>
    <w:p w:rsidR="003D5DF8" w:rsidRPr="000A63C7" w:rsidRDefault="00760CF4" w:rsidP="00760CF4">
      <w:pPr>
        <w:spacing w:after="160"/>
      </w:pPr>
      <w:r>
        <w:t>The study will contribute to the limited body of empirical literature on NGO governance in the East African context, providing a conceptual framework and validated instruments adaptable for comparative studies across sectors, regions, and organizational types, while opening avenues for further inquiry into risk management and sustainability</w:t>
      </w:r>
      <w:r w:rsidR="00717372" w:rsidRPr="000A63C7">
        <w:t>.</w:t>
      </w:r>
    </w:p>
    <w:p w:rsidR="003D5DF8" w:rsidRPr="000A63C7" w:rsidRDefault="0085217D" w:rsidP="00760CF4">
      <w:pPr>
        <w:pStyle w:val="Heading2"/>
      </w:pPr>
      <w:bookmarkStart w:id="15" w:name="_Toc230421150"/>
      <w:r>
        <w:lastRenderedPageBreak/>
        <w:t>1.6</w:t>
      </w:r>
      <w:r w:rsidR="00717372" w:rsidRPr="000A63C7">
        <w:t xml:space="preserve"> Study Limitations</w:t>
      </w:r>
      <w:bookmarkEnd w:id="15"/>
    </w:p>
    <w:p w:rsidR="00760CF4" w:rsidRPr="00760CF4" w:rsidRDefault="00760CF4" w:rsidP="00760CF4">
      <w:pPr>
        <w:spacing w:after="160"/>
      </w:pPr>
      <w:r w:rsidRPr="00760CF4">
        <w:t>This study anticipates several limitations that may potentially affect the accuracy and comprehensiveness of its findings. Response bias may arise given that questions on risk management practices touch on sensitive areas of organizational governance, with some respondents potentially reluctant to disclose candid information regarding weaknesses in their risk systems. To mitigate this, the researcher will assure all respondents of anonymity and confidentiality. The diversity of the Kenyan NGO sector in terms of size, funding base, and operational focus may also limit the generalizability of findings, addressed through stratified sampling across different NGO categories. Additionally, the cross-sectional research design will capture a snapshot of risk management practices and sustainability outcomes at a single point in time, limiting causal inferences about long-term effects.</w:t>
      </w:r>
    </w:p>
    <w:p w:rsidR="00760CF4" w:rsidRPr="00760CF4" w:rsidRDefault="0085217D" w:rsidP="00760CF4">
      <w:pPr>
        <w:pStyle w:val="Heading2"/>
      </w:pPr>
      <w:bookmarkStart w:id="16" w:name="_Toc230421151"/>
      <w:r>
        <w:t xml:space="preserve">1.7 </w:t>
      </w:r>
      <w:r w:rsidR="00760CF4" w:rsidRPr="00760CF4">
        <w:t>Scope of the Study</w:t>
      </w:r>
      <w:bookmarkEnd w:id="16"/>
    </w:p>
    <w:p w:rsidR="003D5DF8" w:rsidRPr="000A63C7" w:rsidRDefault="00760CF4" w:rsidP="00447501">
      <w:pPr>
        <w:spacing w:after="160"/>
      </w:pPr>
      <w:r w:rsidRPr="00760CF4">
        <w:t xml:space="preserve">This study focuses on registered Non-Governmental Organizations operating in Kenya, examining four specific risk management practices, namely risk identification, risk assessment, risk control, and risk monitoring, as the independent variables, and NGO sustainability as the dependent variable, measured through financial sustainability, </w:t>
      </w:r>
      <w:proofErr w:type="spellStart"/>
      <w:r w:rsidRPr="00760CF4">
        <w:t>programme</w:t>
      </w:r>
      <w:proofErr w:type="spellEnd"/>
      <w:r w:rsidRPr="00760CF4">
        <w:t xml:space="preserve"> continuity, and institutional sustainability indicators. The study targets management staff, </w:t>
      </w:r>
      <w:proofErr w:type="spellStart"/>
      <w:r w:rsidRPr="00760CF4">
        <w:t>programme</w:t>
      </w:r>
      <w:proofErr w:type="spellEnd"/>
      <w:r w:rsidRPr="00760CF4">
        <w:t xml:space="preserve"> officers, and risk and compliance personnel directly involved in risk management decision making, drawn from NGOs headquartered in Nairobi County, which hosts approximately 65% of all registered NGOs in Kenya (NGO Coordination Board, 2023). The study</w:t>
      </w:r>
      <w:r w:rsidR="000835A1">
        <w:t xml:space="preserve"> will be conducted between May and June 2026</w:t>
      </w:r>
      <w:r w:rsidR="00717372" w:rsidRPr="000A63C7">
        <w:t>.</w:t>
      </w:r>
    </w:p>
    <w:p w:rsidR="003D5DF8" w:rsidRPr="000A63C7" w:rsidRDefault="0085217D" w:rsidP="00447501">
      <w:pPr>
        <w:pStyle w:val="Heading2"/>
      </w:pPr>
      <w:bookmarkStart w:id="17" w:name="_Toc230421152"/>
      <w:r>
        <w:t xml:space="preserve">1.8 </w:t>
      </w:r>
      <w:r w:rsidR="00717372" w:rsidRPr="000A63C7">
        <w:t>Definition of Key Terms</w:t>
      </w:r>
      <w:bookmarkEnd w:id="17"/>
    </w:p>
    <w:p w:rsidR="00760CF4" w:rsidRDefault="00760CF4" w:rsidP="00760CF4">
      <w:pPr>
        <w:pStyle w:val="font-claude-response-body"/>
        <w:spacing w:before="120" w:beforeAutospacing="0" w:after="120" w:afterAutospacing="0"/>
        <w:ind w:left="720" w:hanging="720"/>
      </w:pPr>
      <w:r>
        <w:rPr>
          <w:rStyle w:val="Strong"/>
        </w:rPr>
        <w:t>Non-Governmental Organizations (NGOs):</w:t>
      </w:r>
      <w:r>
        <w:t xml:space="preserve"> Legally registered, non-profit entities operating in Kenya, accountable to the NGO Coordination Board under the Non-Governmental Organizations Coordination Act and implementing donor or own-funded </w:t>
      </w:r>
      <w:proofErr w:type="spellStart"/>
      <w:r>
        <w:t>programmes</w:t>
      </w:r>
      <w:proofErr w:type="spellEnd"/>
      <w:r>
        <w:t>.</w:t>
      </w:r>
    </w:p>
    <w:p w:rsidR="00760CF4" w:rsidRDefault="00760CF4" w:rsidP="00760CF4">
      <w:pPr>
        <w:pStyle w:val="font-claude-response-body"/>
        <w:spacing w:before="120" w:beforeAutospacing="0" w:after="120" w:afterAutospacing="0"/>
        <w:ind w:left="720" w:hanging="720"/>
      </w:pPr>
      <w:r>
        <w:rPr>
          <w:rStyle w:val="Strong"/>
        </w:rPr>
        <w:t>NGO Sustainability:</w:t>
      </w:r>
      <w:r>
        <w:t xml:space="preserve"> In this study, NGO sustainability refers to the capacity of an organization to maintain financial viability, </w:t>
      </w:r>
      <w:proofErr w:type="spellStart"/>
      <w:r>
        <w:t>programme</w:t>
      </w:r>
      <w:proofErr w:type="spellEnd"/>
      <w:r>
        <w:t xml:space="preserve"> continuity, and institutional legitimacy over time, measured through income diversification, donor retention, and compliance rates.</w:t>
      </w:r>
    </w:p>
    <w:p w:rsidR="00760CF4" w:rsidRDefault="00760CF4" w:rsidP="00760CF4">
      <w:pPr>
        <w:pStyle w:val="font-claude-response-body"/>
        <w:spacing w:before="120" w:beforeAutospacing="0" w:after="120" w:afterAutospacing="0"/>
        <w:ind w:left="720" w:hanging="720"/>
      </w:pPr>
      <w:r>
        <w:rPr>
          <w:rStyle w:val="Strong"/>
        </w:rPr>
        <w:lastRenderedPageBreak/>
        <w:t>Risk Identification:</w:t>
      </w:r>
      <w:r>
        <w:t xml:space="preserve"> The systematic recognition and documentation of potential threats and opportunities affecting organizational objectives. In this study, it is measured through risk register maintenance, stakeholder consultations, and environmental scanning frequency.</w:t>
      </w:r>
    </w:p>
    <w:p w:rsidR="00760CF4" w:rsidRDefault="00760CF4" w:rsidP="00760CF4">
      <w:pPr>
        <w:pStyle w:val="font-claude-response-body"/>
        <w:spacing w:before="120" w:beforeAutospacing="0" w:after="120" w:afterAutospacing="0"/>
        <w:ind w:left="720" w:hanging="720"/>
      </w:pPr>
      <w:r>
        <w:rPr>
          <w:rStyle w:val="Strong"/>
        </w:rPr>
        <w:t>Risk Assessment:</w:t>
      </w:r>
      <w:r>
        <w:t xml:space="preserve"> The evaluation of identified risks by probability and impact to prioritize responses. In this study, it is measured through likelihood impact matrices, financial impact analysis, and frequency of risk reassessment.</w:t>
      </w:r>
    </w:p>
    <w:p w:rsidR="00760CF4" w:rsidRDefault="00760CF4" w:rsidP="00760CF4">
      <w:pPr>
        <w:pStyle w:val="font-claude-response-body"/>
        <w:spacing w:before="120" w:beforeAutospacing="0" w:after="120" w:afterAutospacing="0"/>
        <w:ind w:left="720" w:hanging="720"/>
      </w:pPr>
      <w:r>
        <w:rPr>
          <w:rStyle w:val="Strong"/>
        </w:rPr>
        <w:t>Risk Control:</w:t>
      </w:r>
      <w:r>
        <w:t xml:space="preserve"> Measures implemented to reduce, transfer, or avoid identified risks. In this study, it is measured through risk response plan comprehensiveness, internal control effectiveness, and contingency reserve adequacy.</w:t>
      </w:r>
    </w:p>
    <w:p w:rsidR="003D5DF8" w:rsidRPr="000A63C7" w:rsidRDefault="00760CF4" w:rsidP="00760CF4">
      <w:pPr>
        <w:pStyle w:val="font-claude-response-body"/>
        <w:spacing w:before="120" w:beforeAutospacing="0" w:after="120" w:afterAutospacing="0"/>
        <w:ind w:left="720" w:hanging="720"/>
      </w:pPr>
      <w:r>
        <w:rPr>
          <w:rStyle w:val="Strong"/>
        </w:rPr>
        <w:t>Risk Monitoring:</w:t>
      </w:r>
      <w:r>
        <w:t xml:space="preserve"> The ongoing tracking of identified risks and review of response effectiveness. In this study, it is measured through risk review meeting frequency, audit utilization, and quality of risk reporting to governance structures</w:t>
      </w:r>
      <w:r w:rsidR="00717372" w:rsidRPr="000A63C7">
        <w:t>.</w:t>
      </w:r>
    </w:p>
    <w:p w:rsidR="000A63C7" w:rsidRPr="000A63C7" w:rsidRDefault="000A63C7" w:rsidP="00447501">
      <w:pPr>
        <w:spacing w:before="100"/>
      </w:pPr>
    </w:p>
    <w:p w:rsidR="000A63C7" w:rsidRDefault="000A63C7" w:rsidP="00447501">
      <w:pPr>
        <w:spacing w:before="100"/>
      </w:pPr>
    </w:p>
    <w:p w:rsidR="00760CF4" w:rsidRDefault="00760CF4" w:rsidP="00447501">
      <w:pPr>
        <w:spacing w:before="100"/>
      </w:pPr>
    </w:p>
    <w:p w:rsidR="00760CF4" w:rsidRDefault="00760CF4" w:rsidP="00447501">
      <w:pPr>
        <w:spacing w:before="100"/>
      </w:pPr>
    </w:p>
    <w:p w:rsidR="00760CF4" w:rsidRDefault="00760CF4" w:rsidP="00447501">
      <w:pPr>
        <w:spacing w:before="100"/>
      </w:pPr>
    </w:p>
    <w:p w:rsidR="00760CF4" w:rsidRDefault="00760CF4" w:rsidP="00447501">
      <w:pPr>
        <w:spacing w:before="100"/>
      </w:pPr>
    </w:p>
    <w:p w:rsidR="00760CF4" w:rsidRDefault="00760CF4" w:rsidP="00447501">
      <w:pPr>
        <w:spacing w:before="100"/>
      </w:pPr>
    </w:p>
    <w:p w:rsidR="00760CF4" w:rsidRDefault="00760CF4" w:rsidP="00447501">
      <w:pPr>
        <w:spacing w:before="100"/>
      </w:pPr>
    </w:p>
    <w:p w:rsidR="00E35A35" w:rsidRDefault="00E35A35" w:rsidP="00447501">
      <w:pPr>
        <w:spacing w:before="100"/>
      </w:pPr>
    </w:p>
    <w:p w:rsidR="00E35A35" w:rsidRDefault="00E35A35" w:rsidP="00447501">
      <w:pPr>
        <w:spacing w:before="100"/>
      </w:pPr>
    </w:p>
    <w:p w:rsidR="00E35A35" w:rsidRDefault="00E35A35" w:rsidP="00447501">
      <w:pPr>
        <w:spacing w:before="100"/>
      </w:pPr>
    </w:p>
    <w:p w:rsidR="00760CF4" w:rsidRDefault="00760CF4" w:rsidP="00447501">
      <w:pPr>
        <w:spacing w:before="100"/>
      </w:pPr>
    </w:p>
    <w:p w:rsidR="00760CF4" w:rsidRDefault="00760CF4" w:rsidP="00447501">
      <w:pPr>
        <w:spacing w:before="100"/>
      </w:pPr>
    </w:p>
    <w:p w:rsidR="00760CF4" w:rsidRPr="000A63C7" w:rsidRDefault="00760CF4" w:rsidP="00447501">
      <w:pPr>
        <w:spacing w:before="100"/>
      </w:pPr>
    </w:p>
    <w:p w:rsidR="000A63C7" w:rsidRPr="000A63C7" w:rsidRDefault="000A63C7" w:rsidP="000A63C7">
      <w:pPr>
        <w:pStyle w:val="Heading1"/>
        <w:rPr>
          <w:szCs w:val="24"/>
        </w:rPr>
      </w:pPr>
      <w:bookmarkStart w:id="18" w:name="_Toc230421153"/>
      <w:r w:rsidRPr="000A63C7">
        <w:rPr>
          <w:szCs w:val="24"/>
        </w:rPr>
        <w:lastRenderedPageBreak/>
        <w:t>REFERENCES</w:t>
      </w:r>
      <w:bookmarkEnd w:id="18"/>
    </w:p>
    <w:p w:rsidR="000A63C7" w:rsidRPr="000A63C7" w:rsidRDefault="000A63C7" w:rsidP="000A63C7">
      <w:pPr>
        <w:pStyle w:val="font-claude-response-body"/>
        <w:spacing w:before="120" w:beforeAutospacing="0" w:after="120" w:afterAutospacing="0"/>
        <w:ind w:left="720" w:hanging="720"/>
      </w:pPr>
      <w:proofErr w:type="spellStart"/>
      <w:r w:rsidRPr="000A63C7">
        <w:t>Adeyemi</w:t>
      </w:r>
      <w:proofErr w:type="spellEnd"/>
      <w:r w:rsidRPr="000A63C7">
        <w:t xml:space="preserve">, O., &amp; </w:t>
      </w:r>
      <w:proofErr w:type="spellStart"/>
      <w:r w:rsidRPr="000A63C7">
        <w:t>Ogunlana</w:t>
      </w:r>
      <w:proofErr w:type="spellEnd"/>
      <w:r w:rsidRPr="000A63C7">
        <w:t xml:space="preserve">, S. (2023). Risk management practices and project performance in development organizations in Nigeria. </w:t>
      </w:r>
      <w:r w:rsidRPr="000A63C7">
        <w:rPr>
          <w:rStyle w:val="Emphasis"/>
        </w:rPr>
        <w:t>Journal of Development Management, 15</w:t>
      </w:r>
      <w:r w:rsidRPr="000A63C7">
        <w:t>(2), 44–61.</w:t>
      </w:r>
    </w:p>
    <w:p w:rsidR="000A63C7" w:rsidRPr="000A63C7" w:rsidRDefault="000A63C7" w:rsidP="000A63C7">
      <w:pPr>
        <w:pStyle w:val="font-claude-response-body"/>
        <w:spacing w:before="120" w:beforeAutospacing="0" w:after="120" w:afterAutospacing="0"/>
        <w:ind w:left="720" w:hanging="720"/>
      </w:pPr>
      <w:r w:rsidRPr="000A63C7">
        <w:t xml:space="preserve">African Development Bank. (2023). </w:t>
      </w:r>
      <w:r w:rsidRPr="000A63C7">
        <w:rPr>
          <w:rStyle w:val="Emphasis"/>
        </w:rPr>
        <w:t>Civil society and NGO sector report: Africa 2023</w:t>
      </w:r>
      <w:r w:rsidRPr="000A63C7">
        <w:t>. African Development Bank Group.</w:t>
      </w:r>
    </w:p>
    <w:p w:rsidR="000A63C7" w:rsidRPr="000A63C7" w:rsidRDefault="000A63C7" w:rsidP="000A63C7">
      <w:pPr>
        <w:pStyle w:val="font-claude-response-body"/>
        <w:spacing w:before="120" w:beforeAutospacing="0" w:after="120" w:afterAutospacing="0"/>
        <w:ind w:left="720" w:hanging="720"/>
      </w:pPr>
      <w:r w:rsidRPr="000A63C7">
        <w:t xml:space="preserve">Chapman, C., &amp; Ward, S. (2022). </w:t>
      </w:r>
      <w:r w:rsidRPr="000A63C7">
        <w:rPr>
          <w:rStyle w:val="Emphasis"/>
        </w:rPr>
        <w:t>Project risk management: Processes, techniques and insights</w:t>
      </w:r>
      <w:r w:rsidRPr="000A63C7">
        <w:t xml:space="preserve"> (3rd ed.). John Wiley &amp; Sons.</w:t>
      </w:r>
    </w:p>
    <w:p w:rsidR="000A63C7" w:rsidRPr="000A63C7" w:rsidRDefault="000A63C7" w:rsidP="000A63C7">
      <w:pPr>
        <w:pStyle w:val="font-claude-response-body"/>
        <w:spacing w:before="120" w:beforeAutospacing="0" w:after="120" w:afterAutospacing="0"/>
        <w:ind w:left="720" w:hanging="720"/>
      </w:pPr>
      <w:proofErr w:type="spellStart"/>
      <w:r w:rsidRPr="000A63C7">
        <w:t>Hillson</w:t>
      </w:r>
      <w:proofErr w:type="spellEnd"/>
      <w:r w:rsidRPr="000A63C7">
        <w:t xml:space="preserve">, D., &amp; Murray-Webster, R. (2023). </w:t>
      </w:r>
      <w:r w:rsidRPr="000A63C7">
        <w:rPr>
          <w:rStyle w:val="Emphasis"/>
        </w:rPr>
        <w:t>Understanding and managing risk attitude</w:t>
      </w:r>
      <w:r w:rsidRPr="000A63C7">
        <w:t xml:space="preserve"> (4th ed.). Gower Publishing.</w:t>
      </w:r>
    </w:p>
    <w:p w:rsidR="000A63C7" w:rsidRPr="000A63C7" w:rsidRDefault="000A63C7" w:rsidP="000A63C7">
      <w:pPr>
        <w:pStyle w:val="font-claude-response-body"/>
        <w:spacing w:before="120" w:beforeAutospacing="0" w:after="120" w:afterAutospacing="0"/>
        <w:ind w:left="720" w:hanging="720"/>
      </w:pPr>
      <w:r w:rsidRPr="000A63C7">
        <w:t xml:space="preserve">Hopkin, P. (2023). </w:t>
      </w:r>
      <w:r w:rsidRPr="000A63C7">
        <w:rPr>
          <w:rStyle w:val="Emphasis"/>
        </w:rPr>
        <w:t>Fundamentals of risk management: Understanding, evaluating and implementing effective risk management</w:t>
      </w:r>
      <w:r w:rsidRPr="000A63C7">
        <w:t xml:space="preserve"> (6th ed.). </w:t>
      </w:r>
      <w:proofErr w:type="spellStart"/>
      <w:r w:rsidRPr="000A63C7">
        <w:t>Kogan</w:t>
      </w:r>
      <w:proofErr w:type="spellEnd"/>
      <w:r w:rsidRPr="000A63C7">
        <w:t xml:space="preserve"> Page.</w:t>
      </w:r>
    </w:p>
    <w:p w:rsidR="000A63C7" w:rsidRPr="000A63C7" w:rsidRDefault="000A63C7" w:rsidP="000A63C7">
      <w:pPr>
        <w:pStyle w:val="font-claude-response-body"/>
        <w:spacing w:before="120" w:beforeAutospacing="0" w:after="120" w:afterAutospacing="0"/>
        <w:ind w:left="720" w:hanging="720"/>
      </w:pPr>
      <w:r w:rsidRPr="000A63C7">
        <w:t xml:space="preserve">ISO. (2023). </w:t>
      </w:r>
      <w:r w:rsidRPr="000A63C7">
        <w:rPr>
          <w:rStyle w:val="Emphasis"/>
        </w:rPr>
        <w:t>ISO 31000:2018 risk management — Guidelines</w:t>
      </w:r>
      <w:r w:rsidRPr="000A63C7">
        <w:t>. International Organization for Standardization.</w:t>
      </w:r>
    </w:p>
    <w:p w:rsidR="000A63C7" w:rsidRPr="000A63C7" w:rsidRDefault="000A63C7" w:rsidP="000A63C7">
      <w:pPr>
        <w:pStyle w:val="font-claude-response-body"/>
        <w:spacing w:before="120" w:beforeAutospacing="0" w:after="120" w:afterAutospacing="0"/>
        <w:ind w:left="720" w:hanging="720"/>
      </w:pPr>
      <w:r w:rsidRPr="000A63C7">
        <w:t xml:space="preserve">Kariuki, J., &amp; </w:t>
      </w:r>
      <w:proofErr w:type="spellStart"/>
      <w:r w:rsidRPr="000A63C7">
        <w:t>Wambua</w:t>
      </w:r>
      <w:proofErr w:type="spellEnd"/>
      <w:r w:rsidRPr="000A63C7">
        <w:t xml:space="preserve">, P. (2024). Risk governance and NGO performance in Kenya: An audit-based analysis. </w:t>
      </w:r>
      <w:r w:rsidRPr="000A63C7">
        <w:rPr>
          <w:rStyle w:val="Emphasis"/>
        </w:rPr>
        <w:t>African Journal of Public Administration, 12</w:t>
      </w:r>
      <w:r w:rsidRPr="000A63C7">
        <w:t>(1), 18–35.</w:t>
      </w:r>
    </w:p>
    <w:p w:rsidR="000A63C7" w:rsidRPr="000A63C7" w:rsidRDefault="000A63C7" w:rsidP="000A63C7">
      <w:pPr>
        <w:pStyle w:val="font-claude-response-body"/>
        <w:spacing w:before="120" w:beforeAutospacing="0" w:after="120" w:afterAutospacing="0"/>
        <w:ind w:left="720" w:hanging="720"/>
      </w:pPr>
      <w:r w:rsidRPr="000A63C7">
        <w:t xml:space="preserve">Kenya Association of NGOs. (2023). </w:t>
      </w:r>
      <w:r w:rsidRPr="000A63C7">
        <w:rPr>
          <w:rStyle w:val="Emphasis"/>
        </w:rPr>
        <w:t>State of the NGO sector in Kenya: Annual report 2023</w:t>
      </w:r>
      <w:r w:rsidRPr="000A63C7">
        <w:t>. Kenya Association of NGOs.</w:t>
      </w:r>
    </w:p>
    <w:p w:rsidR="000A63C7" w:rsidRPr="000A63C7" w:rsidRDefault="000A63C7" w:rsidP="000A63C7">
      <w:pPr>
        <w:pStyle w:val="font-claude-response-body"/>
        <w:spacing w:before="120" w:beforeAutospacing="0" w:after="120" w:afterAutospacing="0"/>
        <w:ind w:left="720" w:hanging="720"/>
      </w:pPr>
      <w:r w:rsidRPr="000A63C7">
        <w:t xml:space="preserve">Kenya Human Rights Commission. (2022). </w:t>
      </w:r>
      <w:r w:rsidRPr="000A63C7">
        <w:rPr>
          <w:rStyle w:val="Emphasis"/>
        </w:rPr>
        <w:t>Accountability and governance in Kenya's civil society sector: Findings report</w:t>
      </w:r>
      <w:r w:rsidRPr="000A63C7">
        <w:t>. Kenya Human Rights Commission.</w:t>
      </w:r>
    </w:p>
    <w:p w:rsidR="000A63C7" w:rsidRPr="000A63C7" w:rsidRDefault="000A63C7" w:rsidP="000A63C7">
      <w:pPr>
        <w:pStyle w:val="font-claude-response-body"/>
        <w:spacing w:before="120" w:beforeAutospacing="0" w:after="120" w:afterAutospacing="0"/>
        <w:ind w:left="720" w:hanging="720"/>
      </w:pPr>
      <w:r w:rsidRPr="000A63C7">
        <w:t xml:space="preserve">Kenya Voluntary and Community Sector Report. (2024). </w:t>
      </w:r>
      <w:r w:rsidRPr="000A63C7">
        <w:rPr>
          <w:rStyle w:val="Emphasis"/>
        </w:rPr>
        <w:t>Annual sector performance and resource accountability report</w:t>
      </w:r>
      <w:r w:rsidRPr="000A63C7">
        <w:t>. Civil Society Reference Group Kenya.</w:t>
      </w:r>
    </w:p>
    <w:p w:rsidR="000A63C7" w:rsidRPr="000A63C7" w:rsidRDefault="000A63C7" w:rsidP="000A63C7">
      <w:pPr>
        <w:pStyle w:val="font-claude-response-body"/>
        <w:spacing w:before="120" w:beforeAutospacing="0" w:after="120" w:afterAutospacing="0"/>
        <w:ind w:left="720" w:hanging="720"/>
      </w:pPr>
      <w:r w:rsidRPr="000A63C7">
        <w:t xml:space="preserve">Kendrick, T. (2023). </w:t>
      </w:r>
      <w:r w:rsidRPr="000A63C7">
        <w:rPr>
          <w:rStyle w:val="Emphasis"/>
        </w:rPr>
        <w:t>Identifying and managing project risk: Essential tools for failure-proofing your project</w:t>
      </w:r>
      <w:r w:rsidRPr="000A63C7">
        <w:t xml:space="preserve"> (4th ed.). AMACOM.</w:t>
      </w:r>
    </w:p>
    <w:p w:rsidR="000A63C7" w:rsidRPr="000A63C7" w:rsidRDefault="000A63C7" w:rsidP="000A63C7">
      <w:pPr>
        <w:pStyle w:val="font-claude-response-body"/>
        <w:spacing w:before="120" w:beforeAutospacing="0" w:after="120" w:afterAutospacing="0"/>
        <w:ind w:left="720" w:hanging="720"/>
      </w:pPr>
      <w:proofErr w:type="spellStart"/>
      <w:r w:rsidRPr="000A63C7">
        <w:t>Korir</w:t>
      </w:r>
      <w:proofErr w:type="spellEnd"/>
      <w:r w:rsidRPr="000A63C7">
        <w:t xml:space="preserve">, D., &amp; </w:t>
      </w:r>
      <w:proofErr w:type="spellStart"/>
      <w:r w:rsidRPr="000A63C7">
        <w:t>Ombui</w:t>
      </w:r>
      <w:proofErr w:type="spellEnd"/>
      <w:r w:rsidRPr="000A63C7">
        <w:t xml:space="preserve">, K. (2022). Financial risk management and organizational performance in Kenyan commercial banks. </w:t>
      </w:r>
      <w:r w:rsidRPr="000A63C7">
        <w:rPr>
          <w:rStyle w:val="Emphasis"/>
        </w:rPr>
        <w:t>Journal of Finance and Accounting, 10</w:t>
      </w:r>
      <w:r w:rsidRPr="000A63C7">
        <w:t>(3), 55–72.</w:t>
      </w:r>
    </w:p>
    <w:p w:rsidR="000A63C7" w:rsidRPr="000A63C7" w:rsidRDefault="000A63C7" w:rsidP="000A63C7">
      <w:pPr>
        <w:pStyle w:val="font-claude-response-body"/>
        <w:spacing w:before="120" w:beforeAutospacing="0" w:after="120" w:afterAutospacing="0"/>
        <w:ind w:left="720" w:hanging="720"/>
      </w:pPr>
      <w:r w:rsidRPr="000A63C7">
        <w:lastRenderedPageBreak/>
        <w:t xml:space="preserve">KPMG. (2023). </w:t>
      </w:r>
      <w:r w:rsidRPr="000A63C7">
        <w:rPr>
          <w:rStyle w:val="Emphasis"/>
        </w:rPr>
        <w:t>Global NGO technology report 2023: Risk, resilience and digital transformation</w:t>
      </w:r>
      <w:r w:rsidRPr="000A63C7">
        <w:t>. KPMG International.</w:t>
      </w:r>
    </w:p>
    <w:p w:rsidR="000A63C7" w:rsidRPr="000A63C7" w:rsidRDefault="000A63C7" w:rsidP="000A63C7">
      <w:pPr>
        <w:pStyle w:val="font-claude-response-body"/>
        <w:spacing w:before="120" w:beforeAutospacing="0" w:after="120" w:afterAutospacing="0"/>
        <w:ind w:left="720" w:hanging="720"/>
      </w:pPr>
      <w:r w:rsidRPr="000A63C7">
        <w:t xml:space="preserve">McNeil, A. J., Frey, R., &amp; </w:t>
      </w:r>
      <w:proofErr w:type="spellStart"/>
      <w:r w:rsidRPr="000A63C7">
        <w:t>Embrechts</w:t>
      </w:r>
      <w:proofErr w:type="spellEnd"/>
      <w:r w:rsidRPr="000A63C7">
        <w:t xml:space="preserve">, P. (2023). </w:t>
      </w:r>
      <w:r w:rsidRPr="000A63C7">
        <w:rPr>
          <w:rStyle w:val="Emphasis"/>
        </w:rPr>
        <w:t>Quantitative risk management: Concepts, techniques and tools</w:t>
      </w:r>
      <w:r w:rsidRPr="000A63C7">
        <w:t xml:space="preserve"> (2nd ed.). Princeton University Press.</w:t>
      </w:r>
    </w:p>
    <w:p w:rsidR="000A63C7" w:rsidRPr="000A63C7" w:rsidRDefault="000A63C7" w:rsidP="000A63C7">
      <w:pPr>
        <w:pStyle w:val="font-claude-response-body"/>
        <w:spacing w:before="120" w:beforeAutospacing="0" w:after="120" w:afterAutospacing="0"/>
        <w:ind w:left="720" w:hanging="720"/>
      </w:pPr>
      <w:proofErr w:type="spellStart"/>
      <w:r w:rsidRPr="000A63C7">
        <w:t>Muchelule</w:t>
      </w:r>
      <w:proofErr w:type="spellEnd"/>
      <w:r w:rsidRPr="000A63C7">
        <w:t xml:space="preserve">, Y. (2022). Project risk management and performance of development projects in Kenya. </w:t>
      </w:r>
      <w:r w:rsidRPr="000A63C7">
        <w:rPr>
          <w:rStyle w:val="Emphasis"/>
        </w:rPr>
        <w:t>International Journal of Project Management, 8</w:t>
      </w:r>
      <w:r w:rsidRPr="000A63C7">
        <w:t>(4), 102–118.</w:t>
      </w:r>
    </w:p>
    <w:p w:rsidR="000A63C7" w:rsidRPr="000A63C7" w:rsidRDefault="000A63C7" w:rsidP="000A63C7">
      <w:pPr>
        <w:pStyle w:val="font-claude-response-body"/>
        <w:spacing w:before="120" w:beforeAutospacing="0" w:after="120" w:afterAutospacing="0"/>
        <w:ind w:left="720" w:hanging="720"/>
      </w:pPr>
      <w:r w:rsidRPr="000A63C7">
        <w:t xml:space="preserve">Mwangi, K., Kariuki, L., &amp; </w:t>
      </w:r>
      <w:proofErr w:type="spellStart"/>
      <w:r w:rsidRPr="000A63C7">
        <w:t>Gitau</w:t>
      </w:r>
      <w:proofErr w:type="spellEnd"/>
      <w:r w:rsidRPr="000A63C7">
        <w:t xml:space="preserve">, R. (2022). Project management practices and NGO project outcomes in East Africa: A regional comparative study. </w:t>
      </w:r>
      <w:r w:rsidRPr="000A63C7">
        <w:rPr>
          <w:rStyle w:val="Emphasis"/>
        </w:rPr>
        <w:t>East African Journal of Management Sciences, 6</w:t>
      </w:r>
      <w:r w:rsidRPr="000A63C7">
        <w:t>(2), 77–95.</w:t>
      </w:r>
    </w:p>
    <w:p w:rsidR="000A63C7" w:rsidRPr="000A63C7" w:rsidRDefault="000A63C7" w:rsidP="000A63C7">
      <w:pPr>
        <w:pStyle w:val="font-claude-response-body"/>
        <w:spacing w:before="120" w:beforeAutospacing="0" w:after="120" w:afterAutospacing="0"/>
        <w:ind w:left="720" w:hanging="720"/>
      </w:pPr>
      <w:proofErr w:type="spellStart"/>
      <w:r w:rsidRPr="000A63C7">
        <w:t>Mwenda</w:t>
      </w:r>
      <w:proofErr w:type="spellEnd"/>
      <w:r w:rsidRPr="000A63C7">
        <w:t xml:space="preserve">, T., &amp; </w:t>
      </w:r>
      <w:proofErr w:type="spellStart"/>
      <w:r w:rsidRPr="000A63C7">
        <w:t>Njeru</w:t>
      </w:r>
      <w:proofErr w:type="spellEnd"/>
      <w:r w:rsidRPr="000A63C7">
        <w:t xml:space="preserve">, A. (2025). Risk identification and project delivery outcomes in Kenyan non-governmental organizations. </w:t>
      </w:r>
      <w:r w:rsidRPr="000A63C7">
        <w:rPr>
          <w:rStyle w:val="Emphasis"/>
        </w:rPr>
        <w:t>Journal of Organizational Governance, 4</w:t>
      </w:r>
      <w:r w:rsidRPr="000A63C7">
        <w:t>(1), 29–47.</w:t>
      </w:r>
    </w:p>
    <w:p w:rsidR="000A63C7" w:rsidRPr="000A63C7" w:rsidRDefault="000A63C7" w:rsidP="000A63C7">
      <w:pPr>
        <w:pStyle w:val="font-claude-response-body"/>
        <w:spacing w:before="120" w:beforeAutospacing="0" w:after="120" w:afterAutospacing="0"/>
        <w:ind w:left="720" w:hanging="720"/>
      </w:pPr>
      <w:r w:rsidRPr="000A63C7">
        <w:t xml:space="preserve">NGO Coordination Board. (2023). </w:t>
      </w:r>
      <w:r w:rsidRPr="000A63C7">
        <w:rPr>
          <w:rStyle w:val="Emphasis"/>
        </w:rPr>
        <w:t>Annual report and statistical digest 2022/2023</w:t>
      </w:r>
      <w:r w:rsidRPr="000A63C7">
        <w:t>. NGO Coordination Board of Kenya.</w:t>
      </w:r>
    </w:p>
    <w:p w:rsidR="000A63C7" w:rsidRPr="000A63C7" w:rsidRDefault="000A63C7" w:rsidP="000A63C7">
      <w:pPr>
        <w:pStyle w:val="font-claude-response-body"/>
        <w:spacing w:before="120" w:beforeAutospacing="0" w:after="120" w:afterAutospacing="0"/>
        <w:ind w:left="720" w:hanging="720"/>
      </w:pPr>
      <w:r w:rsidRPr="000A63C7">
        <w:t xml:space="preserve">NGO Coordination Board. (2024). </w:t>
      </w:r>
      <w:r w:rsidRPr="000A63C7">
        <w:rPr>
          <w:rStyle w:val="Emphasis"/>
        </w:rPr>
        <w:t>Annual report and statistical digest 2023/2024</w:t>
      </w:r>
      <w:r w:rsidRPr="000A63C7">
        <w:t>. NGO Coordination Board of Kenya.</w:t>
      </w:r>
    </w:p>
    <w:p w:rsidR="000A63C7" w:rsidRPr="000A63C7" w:rsidRDefault="000A63C7" w:rsidP="000A63C7">
      <w:pPr>
        <w:pStyle w:val="font-claude-response-body"/>
        <w:spacing w:before="120" w:beforeAutospacing="0" w:after="120" w:afterAutospacing="0"/>
        <w:ind w:left="720" w:hanging="720"/>
      </w:pPr>
      <w:proofErr w:type="spellStart"/>
      <w:r w:rsidRPr="000A63C7">
        <w:t>Njeru</w:t>
      </w:r>
      <w:proofErr w:type="spellEnd"/>
      <w:r w:rsidRPr="000A63C7">
        <w:t xml:space="preserve">, S., &amp; </w:t>
      </w:r>
      <w:proofErr w:type="spellStart"/>
      <w:r w:rsidRPr="000A63C7">
        <w:t>Wanjiku</w:t>
      </w:r>
      <w:proofErr w:type="spellEnd"/>
      <w:r w:rsidRPr="000A63C7">
        <w:t xml:space="preserve">, M. (2023). Organizational sustainability and governance in Kenya's civil society sector. </w:t>
      </w:r>
      <w:r w:rsidRPr="000A63C7">
        <w:rPr>
          <w:rStyle w:val="Emphasis"/>
        </w:rPr>
        <w:t>African Journal of Organizational Studies, 9</w:t>
      </w:r>
      <w:r w:rsidRPr="000A63C7">
        <w:t>(1), 61–78.</w:t>
      </w:r>
    </w:p>
    <w:p w:rsidR="000A63C7" w:rsidRPr="000A63C7" w:rsidRDefault="000A63C7" w:rsidP="000A63C7">
      <w:pPr>
        <w:pStyle w:val="font-claude-response-body"/>
        <w:spacing w:before="120" w:beforeAutospacing="0" w:after="120" w:afterAutospacing="0"/>
        <w:ind w:left="720" w:hanging="720"/>
      </w:pPr>
      <w:proofErr w:type="spellStart"/>
      <w:r w:rsidRPr="000A63C7">
        <w:t>Osei-Bonsu</w:t>
      </w:r>
      <w:proofErr w:type="spellEnd"/>
      <w:r w:rsidRPr="000A63C7">
        <w:t xml:space="preserve">, K., &amp; Asante, F. (2023). Risk assessment frameworks and project cost performance in Ghanaian NGOs. </w:t>
      </w:r>
      <w:r w:rsidRPr="000A63C7">
        <w:rPr>
          <w:rStyle w:val="Emphasis"/>
        </w:rPr>
        <w:t>Journal of African Business and Development, 7</w:t>
      </w:r>
      <w:r w:rsidRPr="000A63C7">
        <w:t>(2), 33–51.</w:t>
      </w:r>
    </w:p>
    <w:p w:rsidR="000A63C7" w:rsidRPr="000A63C7" w:rsidRDefault="000A63C7" w:rsidP="000A63C7">
      <w:pPr>
        <w:pStyle w:val="font-claude-response-body"/>
        <w:spacing w:before="120" w:beforeAutospacing="0" w:after="120" w:afterAutospacing="0"/>
        <w:ind w:left="720" w:hanging="720"/>
      </w:pPr>
      <w:r w:rsidRPr="000A63C7">
        <w:t xml:space="preserve">PMI. (2023). </w:t>
      </w:r>
      <w:r w:rsidRPr="000A63C7">
        <w:rPr>
          <w:rStyle w:val="Emphasis"/>
        </w:rPr>
        <w:t>A guide to the project management body of knowledge (PMBOK guide)</w:t>
      </w:r>
      <w:r w:rsidRPr="000A63C7">
        <w:t xml:space="preserve"> (7th ed.). Project Management Institute.</w:t>
      </w:r>
    </w:p>
    <w:p w:rsidR="000A63C7" w:rsidRPr="000A63C7" w:rsidRDefault="000A63C7" w:rsidP="000A63C7">
      <w:pPr>
        <w:pStyle w:val="font-claude-response-body"/>
        <w:spacing w:before="120" w:beforeAutospacing="0" w:after="120" w:afterAutospacing="0"/>
        <w:ind w:left="720" w:hanging="720"/>
      </w:pPr>
      <w:r w:rsidRPr="000A63C7">
        <w:t xml:space="preserve">Republic of Kenya. (2022). </w:t>
      </w:r>
      <w:r w:rsidRPr="000A63C7">
        <w:rPr>
          <w:rStyle w:val="Emphasis"/>
        </w:rPr>
        <w:t>Kenya Kwanza plan: Bottom-up economic transformation agenda 2022–2027</w:t>
      </w:r>
      <w:r w:rsidRPr="000A63C7">
        <w:t>. Government Printer.</w:t>
      </w:r>
    </w:p>
    <w:p w:rsidR="000A63C7" w:rsidRPr="000A63C7" w:rsidRDefault="000A63C7" w:rsidP="000A63C7">
      <w:pPr>
        <w:pStyle w:val="font-claude-response-body"/>
        <w:spacing w:before="120" w:beforeAutospacing="0" w:after="120" w:afterAutospacing="0"/>
        <w:ind w:left="720" w:hanging="720"/>
      </w:pPr>
      <w:r w:rsidRPr="000A63C7">
        <w:t xml:space="preserve">Republic of Kenya. (2023). </w:t>
      </w:r>
      <w:r w:rsidRPr="000A63C7">
        <w:rPr>
          <w:rStyle w:val="Emphasis"/>
        </w:rPr>
        <w:t>Public Benefits Organizations Act: Implementation guidelines</w:t>
      </w:r>
      <w:r w:rsidRPr="000A63C7">
        <w:t>. Ministry of Public Service and Gender.</w:t>
      </w:r>
    </w:p>
    <w:p w:rsidR="000A63C7" w:rsidRPr="000A63C7" w:rsidRDefault="000A63C7" w:rsidP="000A63C7">
      <w:pPr>
        <w:pStyle w:val="font-claude-response-body"/>
        <w:spacing w:before="120" w:beforeAutospacing="0" w:after="120" w:afterAutospacing="0"/>
        <w:ind w:left="720" w:hanging="720"/>
      </w:pPr>
      <w:proofErr w:type="spellStart"/>
      <w:r w:rsidRPr="000A63C7">
        <w:t>Schiavo</w:t>
      </w:r>
      <w:proofErr w:type="spellEnd"/>
      <w:r w:rsidRPr="000A63C7">
        <w:t xml:space="preserve">-Campo, S., &amp; </w:t>
      </w:r>
      <w:proofErr w:type="spellStart"/>
      <w:r w:rsidRPr="000A63C7">
        <w:t>Sundaram</w:t>
      </w:r>
      <w:proofErr w:type="spellEnd"/>
      <w:r w:rsidRPr="000A63C7">
        <w:t xml:space="preserve">, P. (2022). </w:t>
      </w:r>
      <w:r w:rsidRPr="000A63C7">
        <w:rPr>
          <w:rStyle w:val="Emphasis"/>
        </w:rPr>
        <w:t>To serve and to preserve: Improving public administration in a competitive world</w:t>
      </w:r>
      <w:r w:rsidRPr="000A63C7">
        <w:t xml:space="preserve"> (2nd ed.). Routledge.</w:t>
      </w:r>
    </w:p>
    <w:p w:rsidR="000A63C7" w:rsidRPr="000A63C7" w:rsidRDefault="000A63C7" w:rsidP="000A63C7">
      <w:pPr>
        <w:pStyle w:val="font-claude-response-body"/>
        <w:spacing w:before="120" w:beforeAutospacing="0" w:after="120" w:afterAutospacing="0"/>
        <w:ind w:left="720" w:hanging="720"/>
      </w:pPr>
      <w:r w:rsidRPr="000A63C7">
        <w:lastRenderedPageBreak/>
        <w:t xml:space="preserve">USAID. (2023). </w:t>
      </w:r>
      <w:r w:rsidRPr="000A63C7">
        <w:rPr>
          <w:rStyle w:val="Emphasis"/>
        </w:rPr>
        <w:t>ADS chapter 591: USAID's program cycle operational policy</w:t>
      </w:r>
      <w:r w:rsidRPr="000A63C7">
        <w:t>. United States Agency for International Development.</w:t>
      </w:r>
    </w:p>
    <w:p w:rsidR="000A63C7" w:rsidRPr="000A63C7" w:rsidRDefault="000A63C7" w:rsidP="000A63C7">
      <w:pPr>
        <w:pStyle w:val="font-claude-response-body"/>
        <w:spacing w:before="120" w:beforeAutospacing="0" w:after="120" w:afterAutospacing="0"/>
        <w:ind w:left="720" w:hanging="720"/>
      </w:pPr>
      <w:proofErr w:type="spellStart"/>
      <w:r w:rsidRPr="000A63C7">
        <w:t>Wanjiku</w:t>
      </w:r>
      <w:proofErr w:type="spellEnd"/>
      <w:r w:rsidRPr="000A63C7">
        <w:t xml:space="preserve">, M., &amp; </w:t>
      </w:r>
      <w:proofErr w:type="spellStart"/>
      <w:r w:rsidRPr="000A63C7">
        <w:t>Njeru</w:t>
      </w:r>
      <w:proofErr w:type="spellEnd"/>
      <w:r w:rsidRPr="000A63C7">
        <w:t xml:space="preserve">, S. (2023). Risk management and long-term sustainability of civil society organizations in Kenya. </w:t>
      </w:r>
      <w:r w:rsidRPr="000A63C7">
        <w:rPr>
          <w:rStyle w:val="Emphasis"/>
        </w:rPr>
        <w:t>Journal of Nonprofit and Public Sector Marketing, 11</w:t>
      </w:r>
      <w:r w:rsidRPr="000A63C7">
        <w:t>(3), 88–106.</w:t>
      </w:r>
    </w:p>
    <w:p w:rsidR="000A63C7" w:rsidRPr="000A63C7" w:rsidRDefault="000A63C7" w:rsidP="000A63C7">
      <w:pPr>
        <w:pStyle w:val="font-claude-response-body"/>
        <w:spacing w:before="120" w:beforeAutospacing="0" w:after="120" w:afterAutospacing="0"/>
        <w:ind w:left="720" w:hanging="720"/>
      </w:pPr>
      <w:r w:rsidRPr="000A63C7">
        <w:t xml:space="preserve">World Bank. (2023). </w:t>
      </w:r>
      <w:r w:rsidRPr="000A63C7">
        <w:rPr>
          <w:rStyle w:val="Emphasis"/>
        </w:rPr>
        <w:t>World development report 2023: Migrants, refugees, and societies</w:t>
      </w:r>
      <w:r w:rsidRPr="000A63C7">
        <w:t>. World Bank Group.</w:t>
      </w:r>
    </w:p>
    <w:p w:rsidR="000A63C7" w:rsidRPr="000A63C7" w:rsidRDefault="000A63C7" w:rsidP="00447501">
      <w:pPr>
        <w:spacing w:before="100"/>
      </w:pPr>
    </w:p>
    <w:sectPr w:rsidR="000A63C7" w:rsidRPr="000A63C7" w:rsidSect="005E22A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D25" w:rsidRDefault="00046D25" w:rsidP="00760CF4">
      <w:pPr>
        <w:spacing w:before="0" w:after="0" w:line="240" w:lineRule="auto"/>
      </w:pPr>
      <w:r>
        <w:separator/>
      </w:r>
    </w:p>
  </w:endnote>
  <w:endnote w:type="continuationSeparator" w:id="0">
    <w:p w:rsidR="00046D25" w:rsidRDefault="00046D25" w:rsidP="00760C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121955"/>
      <w:docPartObj>
        <w:docPartGallery w:val="Page Numbers (Bottom of Page)"/>
        <w:docPartUnique/>
      </w:docPartObj>
    </w:sdtPr>
    <w:sdtEndPr>
      <w:rPr>
        <w:noProof/>
      </w:rPr>
    </w:sdtEndPr>
    <w:sdtContent>
      <w:p w:rsidR="00760CF4" w:rsidRDefault="00760CF4">
        <w:pPr>
          <w:pStyle w:val="Footer"/>
          <w:jc w:val="center"/>
        </w:pPr>
        <w:r>
          <w:fldChar w:fldCharType="begin"/>
        </w:r>
        <w:r>
          <w:instrText xml:space="preserve"> PAGE   \* MERGEFORMAT </w:instrText>
        </w:r>
        <w:r>
          <w:fldChar w:fldCharType="separate"/>
        </w:r>
        <w:r w:rsidR="001B0A53">
          <w:rPr>
            <w:noProof/>
          </w:rPr>
          <w:t>ii</w:t>
        </w:r>
        <w:r>
          <w:rPr>
            <w:noProof/>
          </w:rPr>
          <w:fldChar w:fldCharType="end"/>
        </w:r>
      </w:p>
    </w:sdtContent>
  </w:sdt>
  <w:p w:rsidR="00760CF4" w:rsidRDefault="00760C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975861"/>
      <w:docPartObj>
        <w:docPartGallery w:val="Page Numbers (Bottom of Page)"/>
        <w:docPartUnique/>
      </w:docPartObj>
    </w:sdtPr>
    <w:sdtEndPr>
      <w:rPr>
        <w:noProof/>
      </w:rPr>
    </w:sdtEndPr>
    <w:sdtContent>
      <w:p w:rsidR="005E22AC" w:rsidRDefault="005E22AC">
        <w:pPr>
          <w:pStyle w:val="Footer"/>
          <w:jc w:val="center"/>
        </w:pPr>
        <w:r>
          <w:fldChar w:fldCharType="begin"/>
        </w:r>
        <w:r>
          <w:instrText xml:space="preserve"> PAGE   \* MERGEFORMAT </w:instrText>
        </w:r>
        <w:r>
          <w:fldChar w:fldCharType="separate"/>
        </w:r>
        <w:r w:rsidR="001B0A53">
          <w:rPr>
            <w:noProof/>
          </w:rPr>
          <w:t>i</w:t>
        </w:r>
        <w:r>
          <w:rPr>
            <w:noProof/>
          </w:rPr>
          <w:fldChar w:fldCharType="end"/>
        </w:r>
      </w:p>
    </w:sdtContent>
  </w:sdt>
  <w:p w:rsidR="005E22AC" w:rsidRDefault="005E22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D25" w:rsidRDefault="00046D25" w:rsidP="00760CF4">
      <w:pPr>
        <w:spacing w:before="0" w:after="0" w:line="240" w:lineRule="auto"/>
      </w:pPr>
      <w:r>
        <w:separator/>
      </w:r>
    </w:p>
  </w:footnote>
  <w:footnote w:type="continuationSeparator" w:id="0">
    <w:p w:rsidR="00046D25" w:rsidRDefault="00046D25" w:rsidP="00760CF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DDA"/>
    <w:multiLevelType w:val="hybridMultilevel"/>
    <w:tmpl w:val="D65044F2"/>
    <w:lvl w:ilvl="0" w:tplc="8D42B49E">
      <w:start w:val="1"/>
      <w:numFmt w:val="decimal"/>
      <w:lvlText w:val="%1."/>
      <w:lvlJc w:val="left"/>
      <w:pPr>
        <w:ind w:left="720" w:hanging="360"/>
      </w:pPr>
    </w:lvl>
    <w:lvl w:ilvl="1" w:tplc="ABF8EC9A">
      <w:numFmt w:val="decimal"/>
      <w:lvlText w:val=""/>
      <w:lvlJc w:val="left"/>
    </w:lvl>
    <w:lvl w:ilvl="2" w:tplc="5A944F3C">
      <w:numFmt w:val="decimal"/>
      <w:lvlText w:val=""/>
      <w:lvlJc w:val="left"/>
    </w:lvl>
    <w:lvl w:ilvl="3" w:tplc="37B44262">
      <w:numFmt w:val="decimal"/>
      <w:lvlText w:val=""/>
      <w:lvlJc w:val="left"/>
    </w:lvl>
    <w:lvl w:ilvl="4" w:tplc="3E20B936">
      <w:numFmt w:val="decimal"/>
      <w:lvlText w:val=""/>
      <w:lvlJc w:val="left"/>
    </w:lvl>
    <w:lvl w:ilvl="5" w:tplc="CF103D78">
      <w:numFmt w:val="decimal"/>
      <w:lvlText w:val=""/>
      <w:lvlJc w:val="left"/>
    </w:lvl>
    <w:lvl w:ilvl="6" w:tplc="739823AC">
      <w:numFmt w:val="decimal"/>
      <w:lvlText w:val=""/>
      <w:lvlJc w:val="left"/>
    </w:lvl>
    <w:lvl w:ilvl="7" w:tplc="07A6C3D8">
      <w:numFmt w:val="decimal"/>
      <w:lvlText w:val=""/>
      <w:lvlJc w:val="left"/>
    </w:lvl>
    <w:lvl w:ilvl="8" w:tplc="CBBA48B2">
      <w:numFmt w:val="decimal"/>
      <w:lvlText w:val=""/>
      <w:lvlJc w:val="left"/>
    </w:lvl>
  </w:abstractNum>
  <w:abstractNum w:abstractNumId="1" w15:restartNumberingAfterBreak="0">
    <w:nsid w:val="05C34744"/>
    <w:multiLevelType w:val="hybridMultilevel"/>
    <w:tmpl w:val="805CB84E"/>
    <w:lvl w:ilvl="0" w:tplc="33D27D5E">
      <w:start w:val="1"/>
      <w:numFmt w:val="bullet"/>
      <w:lvlText w:val="●"/>
      <w:lvlJc w:val="left"/>
      <w:pPr>
        <w:ind w:left="720" w:hanging="360"/>
      </w:pPr>
    </w:lvl>
    <w:lvl w:ilvl="1" w:tplc="04F6ABE4">
      <w:start w:val="1"/>
      <w:numFmt w:val="bullet"/>
      <w:lvlText w:val="○"/>
      <w:lvlJc w:val="left"/>
      <w:pPr>
        <w:ind w:left="1440" w:hanging="360"/>
      </w:pPr>
    </w:lvl>
    <w:lvl w:ilvl="2" w:tplc="E696C208">
      <w:start w:val="1"/>
      <w:numFmt w:val="bullet"/>
      <w:lvlText w:val="■"/>
      <w:lvlJc w:val="left"/>
      <w:pPr>
        <w:ind w:left="2160" w:hanging="360"/>
      </w:pPr>
    </w:lvl>
    <w:lvl w:ilvl="3" w:tplc="1FCE7C60">
      <w:start w:val="1"/>
      <w:numFmt w:val="bullet"/>
      <w:lvlText w:val="●"/>
      <w:lvlJc w:val="left"/>
      <w:pPr>
        <w:ind w:left="2880" w:hanging="360"/>
      </w:pPr>
    </w:lvl>
    <w:lvl w:ilvl="4" w:tplc="D2D02B5C">
      <w:start w:val="1"/>
      <w:numFmt w:val="bullet"/>
      <w:lvlText w:val="○"/>
      <w:lvlJc w:val="left"/>
      <w:pPr>
        <w:ind w:left="3600" w:hanging="360"/>
      </w:pPr>
    </w:lvl>
    <w:lvl w:ilvl="5" w:tplc="CAB04C7E">
      <w:start w:val="1"/>
      <w:numFmt w:val="bullet"/>
      <w:lvlText w:val="■"/>
      <w:lvlJc w:val="left"/>
      <w:pPr>
        <w:ind w:left="4320" w:hanging="360"/>
      </w:pPr>
    </w:lvl>
    <w:lvl w:ilvl="6" w:tplc="E69EC4E2">
      <w:start w:val="1"/>
      <w:numFmt w:val="bullet"/>
      <w:lvlText w:val="●"/>
      <w:lvlJc w:val="left"/>
      <w:pPr>
        <w:ind w:left="5040" w:hanging="360"/>
      </w:pPr>
    </w:lvl>
    <w:lvl w:ilvl="7" w:tplc="A03A7726">
      <w:start w:val="1"/>
      <w:numFmt w:val="bullet"/>
      <w:lvlText w:val="●"/>
      <w:lvlJc w:val="left"/>
      <w:pPr>
        <w:ind w:left="5760" w:hanging="360"/>
      </w:pPr>
    </w:lvl>
    <w:lvl w:ilvl="8" w:tplc="60A28F76">
      <w:start w:val="1"/>
      <w:numFmt w:val="bullet"/>
      <w:lvlText w:val="●"/>
      <w:lvlJc w:val="left"/>
      <w:pPr>
        <w:ind w:left="6480" w:hanging="360"/>
      </w:pPr>
    </w:lvl>
  </w:abstractNum>
  <w:abstractNum w:abstractNumId="2" w15:restartNumberingAfterBreak="0">
    <w:nsid w:val="11F21722"/>
    <w:multiLevelType w:val="hybridMultilevel"/>
    <w:tmpl w:val="647C75D0"/>
    <w:lvl w:ilvl="0" w:tplc="31C6F18C">
      <w:start w:val="1"/>
      <w:numFmt w:val="decimal"/>
      <w:lvlText w:val="%1."/>
      <w:lvlJc w:val="left"/>
      <w:pPr>
        <w:ind w:left="720" w:hanging="360"/>
      </w:pPr>
    </w:lvl>
    <w:lvl w:ilvl="1" w:tplc="490A6988">
      <w:numFmt w:val="decimal"/>
      <w:lvlText w:val=""/>
      <w:lvlJc w:val="left"/>
    </w:lvl>
    <w:lvl w:ilvl="2" w:tplc="1DAA6FBC">
      <w:numFmt w:val="decimal"/>
      <w:lvlText w:val=""/>
      <w:lvlJc w:val="left"/>
    </w:lvl>
    <w:lvl w:ilvl="3" w:tplc="DDB8639E">
      <w:numFmt w:val="decimal"/>
      <w:lvlText w:val=""/>
      <w:lvlJc w:val="left"/>
    </w:lvl>
    <w:lvl w:ilvl="4" w:tplc="3D5E8EE0">
      <w:numFmt w:val="decimal"/>
      <w:lvlText w:val=""/>
      <w:lvlJc w:val="left"/>
    </w:lvl>
    <w:lvl w:ilvl="5" w:tplc="88DE2F3E">
      <w:numFmt w:val="decimal"/>
      <w:lvlText w:val=""/>
      <w:lvlJc w:val="left"/>
    </w:lvl>
    <w:lvl w:ilvl="6" w:tplc="B73AAC56">
      <w:numFmt w:val="decimal"/>
      <w:lvlText w:val=""/>
      <w:lvlJc w:val="left"/>
    </w:lvl>
    <w:lvl w:ilvl="7" w:tplc="E87C5F66">
      <w:numFmt w:val="decimal"/>
      <w:lvlText w:val=""/>
      <w:lvlJc w:val="left"/>
    </w:lvl>
    <w:lvl w:ilvl="8" w:tplc="56F4472C">
      <w:numFmt w:val="decimal"/>
      <w:lvlText w:val=""/>
      <w:lvlJc w:val="left"/>
    </w:lvl>
  </w:abstractNum>
  <w:abstractNum w:abstractNumId="3" w15:restartNumberingAfterBreak="0">
    <w:nsid w:val="43AF526E"/>
    <w:multiLevelType w:val="multilevel"/>
    <w:tmpl w:val="F37C5C0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num>
  <w:num w:numId="2">
    <w:abstractNumId w:val="0"/>
    <w:lvlOverride w:ilvl="0">
      <w:startOverride w:val="1"/>
    </w:lvlOverride>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F8"/>
    <w:rsid w:val="00046D25"/>
    <w:rsid w:val="000835A1"/>
    <w:rsid w:val="000A63C7"/>
    <w:rsid w:val="00166EA8"/>
    <w:rsid w:val="001B0A53"/>
    <w:rsid w:val="003D5DF8"/>
    <w:rsid w:val="00447501"/>
    <w:rsid w:val="00477740"/>
    <w:rsid w:val="00493E93"/>
    <w:rsid w:val="004C209A"/>
    <w:rsid w:val="005849D5"/>
    <w:rsid w:val="005A07C5"/>
    <w:rsid w:val="005B0C60"/>
    <w:rsid w:val="005E22AC"/>
    <w:rsid w:val="006968D9"/>
    <w:rsid w:val="00717372"/>
    <w:rsid w:val="00752CCE"/>
    <w:rsid w:val="00760CF4"/>
    <w:rsid w:val="0085217D"/>
    <w:rsid w:val="00A72BF3"/>
    <w:rsid w:val="00A74911"/>
    <w:rsid w:val="00E34679"/>
    <w:rsid w:val="00E35A35"/>
    <w:rsid w:val="00F8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A2DF"/>
  <w15:docId w15:val="{A9522199-C58B-409A-93D2-7795B9E8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CF4"/>
    <w:pPr>
      <w:spacing w:before="120" w:after="120" w:line="360" w:lineRule="auto"/>
      <w:jc w:val="both"/>
    </w:pPr>
  </w:style>
  <w:style w:type="paragraph" w:styleId="Heading1">
    <w:name w:val="heading 1"/>
    <w:qFormat/>
    <w:rsid w:val="005E22AC"/>
    <w:pPr>
      <w:spacing w:before="120" w:after="120" w:line="360" w:lineRule="auto"/>
      <w:jc w:val="center"/>
      <w:outlineLvl w:val="0"/>
    </w:pPr>
    <w:rPr>
      <w:b/>
      <w:bCs/>
      <w:szCs w:val="28"/>
    </w:rPr>
  </w:style>
  <w:style w:type="paragraph" w:styleId="Heading2">
    <w:name w:val="heading 2"/>
    <w:qFormat/>
    <w:rsid w:val="00E35A35"/>
    <w:pPr>
      <w:spacing w:before="120" w:after="120" w:line="360" w:lineRule="auto"/>
      <w:jc w:val="both"/>
      <w:outlineLvl w:val="1"/>
    </w:pPr>
    <w:rPr>
      <w:b/>
      <w:bCs/>
    </w:rPr>
  </w:style>
  <w:style w:type="paragraph" w:styleId="Heading3">
    <w:name w:val="heading 3"/>
    <w:qFormat/>
    <w:rsid w:val="00E35A35"/>
    <w:pPr>
      <w:spacing w:before="120" w:after="120" w:line="360" w:lineRule="auto"/>
      <w:jc w:val="both"/>
      <w:outlineLvl w:val="2"/>
    </w:pPr>
    <w:rPr>
      <w:b/>
      <w:bCs/>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447501"/>
    <w:rPr>
      <w:sz w:val="16"/>
      <w:szCs w:val="16"/>
    </w:rPr>
  </w:style>
  <w:style w:type="paragraph" w:styleId="CommentText">
    <w:name w:val="annotation text"/>
    <w:basedOn w:val="Normal"/>
    <w:link w:val="CommentTextChar"/>
    <w:uiPriority w:val="99"/>
    <w:semiHidden/>
    <w:unhideWhenUsed/>
    <w:rsid w:val="00447501"/>
    <w:rPr>
      <w:sz w:val="20"/>
      <w:szCs w:val="20"/>
    </w:rPr>
  </w:style>
  <w:style w:type="character" w:customStyle="1" w:styleId="CommentTextChar">
    <w:name w:val="Comment Text Char"/>
    <w:basedOn w:val="DefaultParagraphFont"/>
    <w:link w:val="CommentText"/>
    <w:uiPriority w:val="99"/>
    <w:semiHidden/>
    <w:rsid w:val="00447501"/>
    <w:rPr>
      <w:sz w:val="20"/>
      <w:szCs w:val="20"/>
    </w:rPr>
  </w:style>
  <w:style w:type="paragraph" w:styleId="CommentSubject">
    <w:name w:val="annotation subject"/>
    <w:basedOn w:val="CommentText"/>
    <w:next w:val="CommentText"/>
    <w:link w:val="CommentSubjectChar"/>
    <w:uiPriority w:val="99"/>
    <w:semiHidden/>
    <w:unhideWhenUsed/>
    <w:rsid w:val="00447501"/>
    <w:rPr>
      <w:b/>
      <w:bCs/>
    </w:rPr>
  </w:style>
  <w:style w:type="character" w:customStyle="1" w:styleId="CommentSubjectChar">
    <w:name w:val="Comment Subject Char"/>
    <w:basedOn w:val="CommentTextChar"/>
    <w:link w:val="CommentSubject"/>
    <w:uiPriority w:val="99"/>
    <w:semiHidden/>
    <w:rsid w:val="00447501"/>
    <w:rPr>
      <w:b/>
      <w:bCs/>
      <w:sz w:val="20"/>
      <w:szCs w:val="20"/>
    </w:rPr>
  </w:style>
  <w:style w:type="paragraph" w:styleId="BalloonText">
    <w:name w:val="Balloon Text"/>
    <w:basedOn w:val="Normal"/>
    <w:link w:val="BalloonTextChar"/>
    <w:uiPriority w:val="99"/>
    <w:semiHidden/>
    <w:unhideWhenUsed/>
    <w:rsid w:val="004475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501"/>
    <w:rPr>
      <w:rFonts w:ascii="Segoe UI" w:hAnsi="Segoe UI" w:cs="Segoe UI"/>
      <w:sz w:val="18"/>
      <w:szCs w:val="18"/>
    </w:rPr>
  </w:style>
  <w:style w:type="paragraph" w:customStyle="1" w:styleId="font-claude-response-body">
    <w:name w:val="font-claude-response-body"/>
    <w:basedOn w:val="Normal"/>
    <w:rsid w:val="000A63C7"/>
    <w:pPr>
      <w:spacing w:before="100" w:beforeAutospacing="1" w:after="100" w:afterAutospacing="1"/>
    </w:pPr>
  </w:style>
  <w:style w:type="character" w:styleId="Emphasis">
    <w:name w:val="Emphasis"/>
    <w:basedOn w:val="DefaultParagraphFont"/>
    <w:uiPriority w:val="20"/>
    <w:qFormat/>
    <w:rsid w:val="000A63C7"/>
    <w:rPr>
      <w:i/>
      <w:iCs/>
    </w:rPr>
  </w:style>
  <w:style w:type="paragraph" w:styleId="NormalWeb">
    <w:name w:val="Normal (Web)"/>
    <w:basedOn w:val="Normal"/>
    <w:uiPriority w:val="99"/>
    <w:semiHidden/>
    <w:unhideWhenUsed/>
    <w:rsid w:val="00760CF4"/>
    <w:pPr>
      <w:spacing w:before="100" w:beforeAutospacing="1" w:after="100" w:afterAutospacing="1"/>
    </w:pPr>
  </w:style>
  <w:style w:type="character" w:styleId="Strong">
    <w:name w:val="Strong"/>
    <w:basedOn w:val="DefaultParagraphFont"/>
    <w:uiPriority w:val="22"/>
    <w:qFormat/>
    <w:rsid w:val="00760CF4"/>
    <w:rPr>
      <w:b/>
      <w:bCs/>
    </w:rPr>
  </w:style>
  <w:style w:type="paragraph" w:styleId="Header">
    <w:name w:val="header"/>
    <w:basedOn w:val="Normal"/>
    <w:link w:val="HeaderChar"/>
    <w:uiPriority w:val="99"/>
    <w:unhideWhenUsed/>
    <w:rsid w:val="00760CF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60CF4"/>
  </w:style>
  <w:style w:type="paragraph" w:styleId="Footer">
    <w:name w:val="footer"/>
    <w:basedOn w:val="Normal"/>
    <w:link w:val="FooterChar"/>
    <w:uiPriority w:val="99"/>
    <w:unhideWhenUsed/>
    <w:rsid w:val="00760CF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60CF4"/>
  </w:style>
  <w:style w:type="paragraph" w:styleId="TOC1">
    <w:name w:val="toc 1"/>
    <w:basedOn w:val="Normal"/>
    <w:next w:val="Normal"/>
    <w:autoRedefine/>
    <w:uiPriority w:val="39"/>
    <w:unhideWhenUsed/>
    <w:rsid w:val="005E22AC"/>
    <w:pPr>
      <w:spacing w:after="100"/>
    </w:pPr>
    <w:rPr>
      <w:b/>
    </w:rPr>
  </w:style>
  <w:style w:type="paragraph" w:styleId="TOC2">
    <w:name w:val="toc 2"/>
    <w:basedOn w:val="Normal"/>
    <w:next w:val="Normal"/>
    <w:autoRedefine/>
    <w:uiPriority w:val="39"/>
    <w:unhideWhenUsed/>
    <w:rsid w:val="005E22AC"/>
    <w:pPr>
      <w:spacing w:after="100"/>
      <w:ind w:left="240"/>
    </w:pPr>
  </w:style>
  <w:style w:type="paragraph" w:styleId="TOC3">
    <w:name w:val="toc 3"/>
    <w:basedOn w:val="Normal"/>
    <w:next w:val="Normal"/>
    <w:autoRedefine/>
    <w:uiPriority w:val="39"/>
    <w:unhideWhenUsed/>
    <w:rsid w:val="005E22A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9881">
      <w:bodyDiv w:val="1"/>
      <w:marLeft w:val="0"/>
      <w:marRight w:val="0"/>
      <w:marTop w:val="0"/>
      <w:marBottom w:val="0"/>
      <w:divBdr>
        <w:top w:val="none" w:sz="0" w:space="0" w:color="auto"/>
        <w:left w:val="none" w:sz="0" w:space="0" w:color="auto"/>
        <w:bottom w:val="none" w:sz="0" w:space="0" w:color="auto"/>
        <w:right w:val="none" w:sz="0" w:space="0" w:color="auto"/>
      </w:divBdr>
    </w:div>
    <w:div w:id="403186696">
      <w:bodyDiv w:val="1"/>
      <w:marLeft w:val="0"/>
      <w:marRight w:val="0"/>
      <w:marTop w:val="0"/>
      <w:marBottom w:val="0"/>
      <w:divBdr>
        <w:top w:val="none" w:sz="0" w:space="0" w:color="auto"/>
        <w:left w:val="none" w:sz="0" w:space="0" w:color="auto"/>
        <w:bottom w:val="none" w:sz="0" w:space="0" w:color="auto"/>
        <w:right w:val="none" w:sz="0" w:space="0" w:color="auto"/>
      </w:divBdr>
    </w:div>
    <w:div w:id="535696444">
      <w:bodyDiv w:val="1"/>
      <w:marLeft w:val="0"/>
      <w:marRight w:val="0"/>
      <w:marTop w:val="0"/>
      <w:marBottom w:val="0"/>
      <w:divBdr>
        <w:top w:val="none" w:sz="0" w:space="0" w:color="auto"/>
        <w:left w:val="none" w:sz="0" w:space="0" w:color="auto"/>
        <w:bottom w:val="none" w:sz="0" w:space="0" w:color="auto"/>
        <w:right w:val="none" w:sz="0" w:space="0" w:color="auto"/>
      </w:divBdr>
      <w:divsChild>
        <w:div w:id="1289970979">
          <w:marLeft w:val="0"/>
          <w:marRight w:val="0"/>
          <w:marTop w:val="0"/>
          <w:marBottom w:val="0"/>
          <w:divBdr>
            <w:top w:val="none" w:sz="0" w:space="0" w:color="auto"/>
            <w:left w:val="none" w:sz="0" w:space="0" w:color="auto"/>
            <w:bottom w:val="none" w:sz="0" w:space="0" w:color="auto"/>
            <w:right w:val="none" w:sz="0" w:space="0" w:color="auto"/>
          </w:divBdr>
          <w:divsChild>
            <w:div w:id="1499345395">
              <w:marLeft w:val="0"/>
              <w:marRight w:val="0"/>
              <w:marTop w:val="0"/>
              <w:marBottom w:val="0"/>
              <w:divBdr>
                <w:top w:val="none" w:sz="0" w:space="0" w:color="auto"/>
                <w:left w:val="none" w:sz="0" w:space="0" w:color="auto"/>
                <w:bottom w:val="none" w:sz="0" w:space="0" w:color="auto"/>
                <w:right w:val="none" w:sz="0" w:space="0" w:color="auto"/>
              </w:divBdr>
              <w:divsChild>
                <w:div w:id="842818082">
                  <w:marLeft w:val="0"/>
                  <w:marRight w:val="0"/>
                  <w:marTop w:val="0"/>
                  <w:marBottom w:val="0"/>
                  <w:divBdr>
                    <w:top w:val="none" w:sz="0" w:space="0" w:color="auto"/>
                    <w:left w:val="none" w:sz="0" w:space="0" w:color="auto"/>
                    <w:bottom w:val="none" w:sz="0" w:space="0" w:color="auto"/>
                    <w:right w:val="none" w:sz="0" w:space="0" w:color="auto"/>
                  </w:divBdr>
                  <w:divsChild>
                    <w:div w:id="23332582">
                      <w:marLeft w:val="0"/>
                      <w:marRight w:val="0"/>
                      <w:marTop w:val="0"/>
                      <w:marBottom w:val="0"/>
                      <w:divBdr>
                        <w:top w:val="none" w:sz="0" w:space="0" w:color="auto"/>
                        <w:left w:val="none" w:sz="0" w:space="0" w:color="auto"/>
                        <w:bottom w:val="none" w:sz="0" w:space="0" w:color="auto"/>
                        <w:right w:val="none" w:sz="0" w:space="0" w:color="auto"/>
                      </w:divBdr>
                      <w:divsChild>
                        <w:div w:id="553273936">
                          <w:marLeft w:val="0"/>
                          <w:marRight w:val="0"/>
                          <w:marTop w:val="0"/>
                          <w:marBottom w:val="0"/>
                          <w:divBdr>
                            <w:top w:val="none" w:sz="0" w:space="0" w:color="auto"/>
                            <w:left w:val="none" w:sz="0" w:space="0" w:color="auto"/>
                            <w:bottom w:val="none" w:sz="0" w:space="0" w:color="auto"/>
                            <w:right w:val="none" w:sz="0" w:space="0" w:color="auto"/>
                          </w:divBdr>
                          <w:divsChild>
                            <w:div w:id="1546872453">
                              <w:marLeft w:val="0"/>
                              <w:marRight w:val="0"/>
                              <w:marTop w:val="0"/>
                              <w:marBottom w:val="0"/>
                              <w:divBdr>
                                <w:top w:val="none" w:sz="0" w:space="0" w:color="auto"/>
                                <w:left w:val="none" w:sz="0" w:space="0" w:color="auto"/>
                                <w:bottom w:val="none" w:sz="0" w:space="0" w:color="auto"/>
                                <w:right w:val="none" w:sz="0" w:space="0" w:color="auto"/>
                              </w:divBdr>
                              <w:divsChild>
                                <w:div w:id="1836023456">
                                  <w:marLeft w:val="0"/>
                                  <w:marRight w:val="0"/>
                                  <w:marTop w:val="0"/>
                                  <w:marBottom w:val="0"/>
                                  <w:divBdr>
                                    <w:top w:val="none" w:sz="0" w:space="0" w:color="auto"/>
                                    <w:left w:val="none" w:sz="0" w:space="0" w:color="auto"/>
                                    <w:bottom w:val="none" w:sz="0" w:space="0" w:color="auto"/>
                                    <w:right w:val="none" w:sz="0" w:space="0" w:color="auto"/>
                                  </w:divBdr>
                                  <w:divsChild>
                                    <w:div w:id="11096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362164">
      <w:bodyDiv w:val="1"/>
      <w:marLeft w:val="0"/>
      <w:marRight w:val="0"/>
      <w:marTop w:val="0"/>
      <w:marBottom w:val="0"/>
      <w:divBdr>
        <w:top w:val="none" w:sz="0" w:space="0" w:color="auto"/>
        <w:left w:val="none" w:sz="0" w:space="0" w:color="auto"/>
        <w:bottom w:val="none" w:sz="0" w:space="0" w:color="auto"/>
        <w:right w:val="none" w:sz="0" w:space="0" w:color="auto"/>
      </w:divBdr>
    </w:div>
    <w:div w:id="1683313208">
      <w:bodyDiv w:val="1"/>
      <w:marLeft w:val="0"/>
      <w:marRight w:val="0"/>
      <w:marTop w:val="0"/>
      <w:marBottom w:val="0"/>
      <w:divBdr>
        <w:top w:val="none" w:sz="0" w:space="0" w:color="auto"/>
        <w:left w:val="none" w:sz="0" w:space="0" w:color="auto"/>
        <w:bottom w:val="none" w:sz="0" w:space="0" w:color="auto"/>
        <w:right w:val="none" w:sz="0" w:space="0" w:color="auto"/>
      </w:divBdr>
    </w:div>
    <w:div w:id="2048065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DF48-9225-4101-85D0-21892762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4210</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28</cp:revision>
  <dcterms:created xsi:type="dcterms:W3CDTF">2026-05-22T16:41:00Z</dcterms:created>
  <dcterms:modified xsi:type="dcterms:W3CDTF">2026-05-23T09:38:00Z</dcterms:modified>
</cp:coreProperties>
</file>